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0C" w:rsidRDefault="005A1F0C" w:rsidP="00F80C30">
      <w:pPr>
        <w:spacing w:after="0"/>
        <w:jc w:val="center"/>
        <w:rPr>
          <w:b/>
          <w:lang w:val="en-US"/>
        </w:rPr>
      </w:pPr>
      <w:r w:rsidRPr="00CD0A41">
        <w:rPr>
          <w:b/>
          <w:lang w:val="en-US"/>
        </w:rPr>
        <w:t xml:space="preserve">AF447 and Germanwings investigations – </w:t>
      </w:r>
      <w:r w:rsidR="000C1CDB">
        <w:rPr>
          <w:b/>
          <w:lang w:val="en-US"/>
        </w:rPr>
        <w:t>W</w:t>
      </w:r>
      <w:r w:rsidR="000C1CDB" w:rsidRPr="00CD0A41">
        <w:rPr>
          <w:b/>
          <w:lang w:val="en-US"/>
        </w:rPr>
        <w:t xml:space="preserve">hat </w:t>
      </w:r>
      <w:r w:rsidRPr="00CD0A41">
        <w:rPr>
          <w:b/>
          <w:lang w:val="en-US"/>
        </w:rPr>
        <w:t>difference do or did they make?</w:t>
      </w:r>
    </w:p>
    <w:p w:rsidR="009F7E20" w:rsidRPr="00C55DD1" w:rsidRDefault="009F7E20" w:rsidP="00F80C30">
      <w:pPr>
        <w:spacing w:after="0"/>
        <w:jc w:val="center"/>
        <w:rPr>
          <w:b/>
          <w:sz w:val="20"/>
          <w:lang w:val="en-US"/>
        </w:rPr>
      </w:pPr>
      <w:r w:rsidRPr="00C55DD1">
        <w:rPr>
          <w:b/>
          <w:sz w:val="20"/>
          <w:lang w:val="en-US"/>
        </w:rPr>
        <w:t>by Philippe Plantin de Hugues and Arnaud Desjardin</w:t>
      </w:r>
      <w:r w:rsidR="00AC312A" w:rsidRPr="00C55DD1">
        <w:rPr>
          <w:b/>
          <w:sz w:val="20"/>
          <w:lang w:val="en-US"/>
        </w:rPr>
        <w:t xml:space="preserve"> (BEA)</w:t>
      </w:r>
    </w:p>
    <w:p w:rsidR="003B6265" w:rsidRPr="00C55DD1" w:rsidRDefault="003B6265" w:rsidP="003B6265">
      <w:pPr>
        <w:jc w:val="center"/>
        <w:rPr>
          <w:lang w:val="en-US"/>
        </w:rPr>
      </w:pPr>
    </w:p>
    <w:p w:rsidR="00D76373" w:rsidRPr="00D76373" w:rsidRDefault="00D76373" w:rsidP="00D76373">
      <w:pPr>
        <w:jc w:val="both"/>
        <w:rPr>
          <w:b/>
          <w:sz w:val="20"/>
          <w:lang w:val="en-US"/>
        </w:rPr>
      </w:pPr>
      <w:r w:rsidRPr="00D76373">
        <w:rPr>
          <w:b/>
          <w:sz w:val="20"/>
          <w:lang w:val="en-US"/>
        </w:rPr>
        <w:t>Arnaud Desjardin</w:t>
      </w:r>
    </w:p>
    <w:p w:rsidR="00D76373" w:rsidRPr="00D76373" w:rsidRDefault="00D76373" w:rsidP="00D76373">
      <w:pPr>
        <w:jc w:val="both"/>
        <w:rPr>
          <w:i/>
          <w:sz w:val="20"/>
          <w:lang w:val="en-US"/>
        </w:rPr>
      </w:pPr>
      <w:r w:rsidRPr="00D76373">
        <w:rPr>
          <w:i/>
          <w:sz w:val="20"/>
          <w:lang w:val="en-US"/>
        </w:rPr>
        <w:t>Deputy Head of Investigation Department</w:t>
      </w:r>
    </w:p>
    <w:p w:rsidR="00D76373" w:rsidRPr="00D76373" w:rsidRDefault="00D76373" w:rsidP="00D76373">
      <w:pPr>
        <w:jc w:val="both"/>
        <w:rPr>
          <w:i/>
          <w:sz w:val="20"/>
          <w:lang w:val="en-US"/>
        </w:rPr>
      </w:pPr>
      <w:r w:rsidRPr="00D76373">
        <w:rPr>
          <w:i/>
          <w:sz w:val="20"/>
          <w:lang w:val="en-US"/>
        </w:rPr>
        <w:t>Arnaud Desjardin has a first-level university degree in aeronautical engineering, 22 years of work experience, including 16 in a State civil aviation authority, and six in the private sector in the USA, developing ATC systems for the FAA. He has been a safety investigator for the French safety investigation authority (BEA) in Paris-Le Bourget for the past 12 years and was the Investigator-In-Charge of the investigation into the accident on 24 March 2015 in the French Alps to the Airbus A320 operated by Germanwings.</w:t>
      </w:r>
    </w:p>
    <w:p w:rsidR="00D76373" w:rsidRPr="00D76373" w:rsidRDefault="00D76373" w:rsidP="00D76373">
      <w:pPr>
        <w:jc w:val="both"/>
        <w:rPr>
          <w:b/>
          <w:sz w:val="20"/>
          <w:lang w:val="en-US"/>
        </w:rPr>
      </w:pPr>
      <w:r w:rsidRPr="00D76373">
        <w:rPr>
          <w:b/>
          <w:sz w:val="20"/>
          <w:lang w:val="en-US"/>
        </w:rPr>
        <w:t xml:space="preserve">Philippe Plantin de Hugues </w:t>
      </w:r>
    </w:p>
    <w:p w:rsidR="00D76373" w:rsidRPr="00D76373" w:rsidRDefault="00D76373" w:rsidP="00D76373">
      <w:pPr>
        <w:jc w:val="both"/>
        <w:rPr>
          <w:i/>
          <w:sz w:val="20"/>
          <w:lang w:val="en-US"/>
        </w:rPr>
      </w:pPr>
      <w:r w:rsidRPr="00D76373">
        <w:rPr>
          <w:i/>
          <w:sz w:val="20"/>
          <w:lang w:val="en-US"/>
        </w:rPr>
        <w:t>Special Adviser on International Affairs</w:t>
      </w:r>
    </w:p>
    <w:p w:rsidR="00D76373" w:rsidRDefault="00D76373" w:rsidP="00D76373">
      <w:pPr>
        <w:jc w:val="both"/>
        <w:rPr>
          <w:sz w:val="20"/>
          <w:lang w:val="en-US"/>
        </w:rPr>
      </w:pPr>
      <w:r w:rsidRPr="00D76373">
        <w:rPr>
          <w:i/>
          <w:sz w:val="20"/>
          <w:lang w:val="en-US"/>
        </w:rPr>
        <w:t>Philippe Plantin de Hugues obtained his Ph.D. in Fluid Mechanics in 1991. He worked for a year at the NASA Ames Research Center (USA). He joined the BEA Engineering Department in 1993 as a specialist in acoustic analysis. He has participated in major international investigations involving France, involving over 800 events worldwide. He became the Adviser for International Affairs in 2013. He has been the Chairman of various international working groups. He is currently chairing the ICAO Flight Recorder working group as well as the EUROCAE WG-98 on a new generation of ELTs.</w:t>
      </w:r>
    </w:p>
    <w:p w:rsidR="0090058C" w:rsidRPr="00D76373" w:rsidRDefault="0090058C" w:rsidP="003B6265">
      <w:pPr>
        <w:jc w:val="center"/>
        <w:rPr>
          <w:lang w:val="en-US"/>
        </w:rPr>
      </w:pPr>
    </w:p>
    <w:p w:rsidR="00E651C9" w:rsidRPr="00E651C9" w:rsidRDefault="00E651C9" w:rsidP="00E651C9">
      <w:pPr>
        <w:pStyle w:val="Paragraphedeliste"/>
        <w:numPr>
          <w:ilvl w:val="0"/>
          <w:numId w:val="5"/>
        </w:numPr>
        <w:jc w:val="both"/>
        <w:rPr>
          <w:b/>
          <w:lang w:val="en-US"/>
        </w:rPr>
      </w:pPr>
      <w:r w:rsidRPr="00E651C9">
        <w:rPr>
          <w:b/>
          <w:lang w:val="en-US"/>
        </w:rPr>
        <w:t xml:space="preserve">Lessons learned from </w:t>
      </w:r>
      <w:r>
        <w:rPr>
          <w:b/>
          <w:lang w:val="en-US"/>
        </w:rPr>
        <w:t xml:space="preserve">the </w:t>
      </w:r>
      <w:r w:rsidRPr="00E651C9">
        <w:rPr>
          <w:b/>
          <w:lang w:val="en-US"/>
        </w:rPr>
        <w:t>AF447 investigation</w:t>
      </w:r>
      <w:r w:rsidR="000665B1">
        <w:rPr>
          <w:b/>
          <w:lang w:val="en-US"/>
        </w:rPr>
        <w:t xml:space="preserve"> </w:t>
      </w:r>
      <w:r w:rsidR="009F7E20">
        <w:rPr>
          <w:b/>
          <w:lang w:val="en-US"/>
        </w:rPr>
        <w:t>(</w:t>
      </w:r>
      <w:r w:rsidR="000665B1">
        <w:rPr>
          <w:b/>
          <w:lang w:val="en-US"/>
        </w:rPr>
        <w:t>by Philippe Plantin de Hugues</w:t>
      </w:r>
      <w:r w:rsidR="009F7E20">
        <w:rPr>
          <w:b/>
          <w:lang w:val="en-US"/>
        </w:rPr>
        <w:t>)</w:t>
      </w:r>
      <w:r w:rsidR="000665B1">
        <w:rPr>
          <w:b/>
          <w:lang w:val="en-US"/>
        </w:rPr>
        <w:t xml:space="preserve"> </w:t>
      </w:r>
    </w:p>
    <w:p w:rsidR="004759EF" w:rsidRDefault="000C3CE8" w:rsidP="00F37B86">
      <w:pPr>
        <w:jc w:val="both"/>
        <w:rPr>
          <w:lang w:val="en-US"/>
        </w:rPr>
      </w:pPr>
      <w:r w:rsidRPr="000C3CE8">
        <w:rPr>
          <w:lang w:val="en-US"/>
        </w:rPr>
        <w:t>The Air France Flight 447</w:t>
      </w:r>
      <w:r>
        <w:rPr>
          <w:rStyle w:val="Appelnotedebasdep"/>
          <w:lang w:val="en-US"/>
        </w:rPr>
        <w:footnoteReference w:id="1"/>
      </w:r>
      <w:r w:rsidRPr="000C3CE8">
        <w:rPr>
          <w:lang w:val="en-US"/>
        </w:rPr>
        <w:t xml:space="preserve"> accident highlighted </w:t>
      </w:r>
      <w:r>
        <w:rPr>
          <w:lang w:val="en-US"/>
        </w:rPr>
        <w:t xml:space="preserve">difficulties that </w:t>
      </w:r>
      <w:r w:rsidR="000A7092">
        <w:rPr>
          <w:lang w:val="en-US"/>
        </w:rPr>
        <w:t xml:space="preserve">have </w:t>
      </w:r>
      <w:r>
        <w:rPr>
          <w:lang w:val="en-US"/>
        </w:rPr>
        <w:t>hindered</w:t>
      </w:r>
      <w:r w:rsidRPr="000C3CE8">
        <w:rPr>
          <w:lang w:val="en-US"/>
        </w:rPr>
        <w:t xml:space="preserve"> the timely</w:t>
      </w:r>
      <w:r>
        <w:rPr>
          <w:lang w:val="en-US"/>
        </w:rPr>
        <w:t xml:space="preserve"> </w:t>
      </w:r>
      <w:r w:rsidR="000A7092">
        <w:rPr>
          <w:lang w:val="en-US"/>
        </w:rPr>
        <w:t xml:space="preserve">localization </w:t>
      </w:r>
      <w:r w:rsidR="00E2175F">
        <w:rPr>
          <w:lang w:val="en-US"/>
        </w:rPr>
        <w:t>and subsequent recovery of</w:t>
      </w:r>
      <w:r w:rsidR="000A7092">
        <w:rPr>
          <w:lang w:val="en-US"/>
        </w:rPr>
        <w:t xml:space="preserve"> the</w:t>
      </w:r>
      <w:r w:rsidRPr="000C3CE8">
        <w:rPr>
          <w:lang w:val="en-US"/>
        </w:rPr>
        <w:t xml:space="preserve"> </w:t>
      </w:r>
      <w:r w:rsidR="00E2175F">
        <w:rPr>
          <w:lang w:val="en-US"/>
        </w:rPr>
        <w:t>wreckage and</w:t>
      </w:r>
      <w:r w:rsidR="000A7092">
        <w:rPr>
          <w:lang w:val="en-US"/>
        </w:rPr>
        <w:t xml:space="preserve"> flight recorders</w:t>
      </w:r>
      <w:r w:rsidRPr="000C3CE8">
        <w:rPr>
          <w:lang w:val="en-US"/>
        </w:rPr>
        <w:t>.</w:t>
      </w:r>
      <w:r w:rsidR="00225A2B">
        <w:rPr>
          <w:lang w:val="en-US"/>
        </w:rPr>
        <w:t xml:space="preserve"> </w:t>
      </w:r>
      <w:r w:rsidR="000665B1" w:rsidRPr="000665B1">
        <w:rPr>
          <w:lang w:val="en-US"/>
        </w:rPr>
        <w:t>The BEA set up an international working group, chaired by myself and Arnaud Desjardin</w:t>
      </w:r>
      <w:r w:rsidR="000665B1">
        <w:rPr>
          <w:lang w:val="en-US"/>
        </w:rPr>
        <w:t>,</w:t>
      </w:r>
      <w:r w:rsidR="0032292F">
        <w:rPr>
          <w:lang w:val="en-US"/>
        </w:rPr>
        <w:t xml:space="preserve"> </w:t>
      </w:r>
      <w:r w:rsidR="008835AC">
        <w:rPr>
          <w:lang w:val="en-US"/>
        </w:rPr>
        <w:t xml:space="preserve">to define the best solutions to </w:t>
      </w:r>
      <w:r w:rsidR="00225A2B">
        <w:rPr>
          <w:lang w:val="en-US"/>
        </w:rPr>
        <w:t>en</w:t>
      </w:r>
      <w:r w:rsidR="008835AC">
        <w:rPr>
          <w:lang w:val="en-US"/>
        </w:rPr>
        <w:t xml:space="preserve">sure that nobody </w:t>
      </w:r>
      <w:r w:rsidR="00225A2B">
        <w:rPr>
          <w:lang w:val="en-US"/>
        </w:rPr>
        <w:t xml:space="preserve">would ever have to </w:t>
      </w:r>
      <w:r w:rsidR="008835AC">
        <w:rPr>
          <w:lang w:val="en-US"/>
        </w:rPr>
        <w:t>face what we face</w:t>
      </w:r>
      <w:r w:rsidR="00225A2B">
        <w:rPr>
          <w:lang w:val="en-US"/>
        </w:rPr>
        <w:t>d</w:t>
      </w:r>
      <w:r w:rsidR="008835AC">
        <w:rPr>
          <w:lang w:val="en-US"/>
        </w:rPr>
        <w:t xml:space="preserve"> with AF447</w:t>
      </w:r>
      <w:r w:rsidR="0082327F">
        <w:rPr>
          <w:lang w:val="en-US"/>
        </w:rPr>
        <w:t xml:space="preserve"> sea search</w:t>
      </w:r>
      <w:r w:rsidR="008835AC">
        <w:rPr>
          <w:lang w:val="en-US"/>
        </w:rPr>
        <w:t xml:space="preserve">. </w:t>
      </w:r>
      <w:r w:rsidR="000A7092">
        <w:rPr>
          <w:lang w:val="en-US"/>
        </w:rPr>
        <w:t xml:space="preserve">In </w:t>
      </w:r>
      <w:r w:rsidR="008835AC">
        <w:rPr>
          <w:lang w:val="en-US"/>
        </w:rPr>
        <w:t xml:space="preserve">the BEA </w:t>
      </w:r>
      <w:r w:rsidR="000A7092">
        <w:rPr>
          <w:lang w:val="en-US"/>
        </w:rPr>
        <w:t xml:space="preserve">investigation reports, </w:t>
      </w:r>
      <w:r w:rsidR="00653CDD">
        <w:rPr>
          <w:lang w:val="en-US"/>
        </w:rPr>
        <w:t xml:space="preserve">based on the results of the work of </w:t>
      </w:r>
      <w:r w:rsidR="008835AC">
        <w:rPr>
          <w:lang w:val="en-US"/>
        </w:rPr>
        <w:t xml:space="preserve">our </w:t>
      </w:r>
      <w:r w:rsidR="00653CDD">
        <w:rPr>
          <w:lang w:val="en-US"/>
        </w:rPr>
        <w:t>international work</w:t>
      </w:r>
      <w:r w:rsidR="008835AC">
        <w:rPr>
          <w:lang w:val="en-US"/>
        </w:rPr>
        <w:t xml:space="preserve">, we </w:t>
      </w:r>
      <w:r w:rsidR="00225A2B">
        <w:rPr>
          <w:lang w:val="en-US"/>
        </w:rPr>
        <w:t>propose</w:t>
      </w:r>
      <w:r w:rsidR="0082327F">
        <w:rPr>
          <w:lang w:val="en-US"/>
        </w:rPr>
        <w:t>d</w:t>
      </w:r>
      <w:r w:rsidR="00225A2B">
        <w:rPr>
          <w:lang w:val="en-US"/>
        </w:rPr>
        <w:t xml:space="preserve"> </w:t>
      </w:r>
      <w:r w:rsidR="000A7092">
        <w:rPr>
          <w:lang w:val="en-US"/>
        </w:rPr>
        <w:t xml:space="preserve">safety </w:t>
      </w:r>
      <w:r w:rsidR="00E2175F">
        <w:rPr>
          <w:lang w:val="en-US"/>
        </w:rPr>
        <w:t>recommendations</w:t>
      </w:r>
      <w:r w:rsidR="000A7092">
        <w:rPr>
          <w:lang w:val="en-US"/>
        </w:rPr>
        <w:t xml:space="preserve"> </w:t>
      </w:r>
      <w:r w:rsidR="00225A2B">
        <w:rPr>
          <w:lang w:val="en-US"/>
        </w:rPr>
        <w:t>specifically</w:t>
      </w:r>
      <w:r w:rsidR="008835AC">
        <w:rPr>
          <w:lang w:val="en-US"/>
        </w:rPr>
        <w:t xml:space="preserve"> </w:t>
      </w:r>
      <w:r w:rsidR="008116F2">
        <w:rPr>
          <w:lang w:val="en-US"/>
        </w:rPr>
        <w:t>on</w:t>
      </w:r>
      <w:r w:rsidR="000A7092">
        <w:rPr>
          <w:lang w:val="en-US"/>
        </w:rPr>
        <w:t xml:space="preserve"> new requirements for underwater locator </w:t>
      </w:r>
      <w:r w:rsidR="00F37B86">
        <w:rPr>
          <w:lang w:val="en-US"/>
        </w:rPr>
        <w:t>device</w:t>
      </w:r>
      <w:r w:rsidR="000A7092">
        <w:rPr>
          <w:lang w:val="en-US"/>
        </w:rPr>
        <w:t>s (UL</w:t>
      </w:r>
      <w:r w:rsidR="00F37B86">
        <w:rPr>
          <w:lang w:val="en-US"/>
        </w:rPr>
        <w:t>D</w:t>
      </w:r>
      <w:r w:rsidR="000A7092">
        <w:rPr>
          <w:lang w:val="en-US"/>
        </w:rPr>
        <w:t>s)</w:t>
      </w:r>
      <w:r w:rsidR="005D2B37">
        <w:rPr>
          <w:lang w:val="en-US"/>
        </w:rPr>
        <w:t>, attached to flight recorders</w:t>
      </w:r>
      <w:r w:rsidR="00E2175F">
        <w:rPr>
          <w:lang w:val="en-US"/>
        </w:rPr>
        <w:t xml:space="preserve">. </w:t>
      </w:r>
      <w:r w:rsidR="003A2C1B">
        <w:rPr>
          <w:lang w:val="en-US"/>
        </w:rPr>
        <w:t>We convinced the</w:t>
      </w:r>
      <w:r w:rsidR="008835AC">
        <w:rPr>
          <w:lang w:val="en-US"/>
        </w:rPr>
        <w:t xml:space="preserve"> </w:t>
      </w:r>
      <w:r w:rsidR="00653CDD">
        <w:rPr>
          <w:lang w:val="en-US"/>
        </w:rPr>
        <w:t>international working group</w:t>
      </w:r>
      <w:r w:rsidR="00753A7D">
        <w:rPr>
          <w:lang w:val="en-US"/>
        </w:rPr>
        <w:t xml:space="preserve"> </w:t>
      </w:r>
      <w:r w:rsidR="008835AC">
        <w:rPr>
          <w:lang w:val="en-US"/>
        </w:rPr>
        <w:t xml:space="preserve">to </w:t>
      </w:r>
      <w:r w:rsidR="00653CDD">
        <w:rPr>
          <w:lang w:val="en-US"/>
        </w:rPr>
        <w:t xml:space="preserve">conduct </w:t>
      </w:r>
      <w:r w:rsidR="00D50DE3">
        <w:rPr>
          <w:lang w:val="en-US"/>
        </w:rPr>
        <w:t xml:space="preserve">a </w:t>
      </w:r>
      <w:r w:rsidR="00653CDD">
        <w:rPr>
          <w:lang w:val="en-US"/>
        </w:rPr>
        <w:t>cost</w:t>
      </w:r>
      <w:r w:rsidR="003A2C1B">
        <w:rPr>
          <w:lang w:val="en-US"/>
        </w:rPr>
        <w:t>-</w:t>
      </w:r>
      <w:r w:rsidR="00653CDD">
        <w:rPr>
          <w:lang w:val="en-US"/>
        </w:rPr>
        <w:t xml:space="preserve">benefit analysis as well as </w:t>
      </w:r>
      <w:r w:rsidR="00D50DE3">
        <w:rPr>
          <w:lang w:val="en-US"/>
        </w:rPr>
        <w:t xml:space="preserve">an </w:t>
      </w:r>
      <w:r w:rsidR="00653CDD">
        <w:rPr>
          <w:lang w:val="en-US"/>
        </w:rPr>
        <w:t>analysis of all potential solutions to locate wreckage under water</w:t>
      </w:r>
      <w:r w:rsidR="00225A2B">
        <w:rPr>
          <w:lang w:val="en-US"/>
        </w:rPr>
        <w:t>,</w:t>
      </w:r>
      <w:r w:rsidR="008835AC">
        <w:rPr>
          <w:lang w:val="en-US"/>
        </w:rPr>
        <w:t xml:space="preserve"> in order to facilitate the </w:t>
      </w:r>
      <w:r w:rsidR="00225A2B">
        <w:rPr>
          <w:lang w:val="en-US"/>
        </w:rPr>
        <w:t xml:space="preserve">application </w:t>
      </w:r>
      <w:r w:rsidR="008835AC">
        <w:rPr>
          <w:lang w:val="en-US"/>
        </w:rPr>
        <w:t xml:space="preserve">of </w:t>
      </w:r>
      <w:r w:rsidR="00225A2B">
        <w:rPr>
          <w:lang w:val="en-US"/>
        </w:rPr>
        <w:t xml:space="preserve">our </w:t>
      </w:r>
      <w:r w:rsidR="008835AC">
        <w:rPr>
          <w:lang w:val="en-US"/>
        </w:rPr>
        <w:t>work by ICAO</w:t>
      </w:r>
      <w:r w:rsidR="00653CDD">
        <w:rPr>
          <w:lang w:val="en-US"/>
        </w:rPr>
        <w:t xml:space="preserve">. It took a few months after the issuance of the safety recommendations to </w:t>
      </w:r>
      <w:r w:rsidR="00225A2B">
        <w:rPr>
          <w:lang w:val="en-US"/>
        </w:rPr>
        <w:t xml:space="preserve">ensure that </w:t>
      </w:r>
      <w:r w:rsidR="00653CDD">
        <w:rPr>
          <w:lang w:val="en-US"/>
        </w:rPr>
        <w:t>the ICAO FLIREC</w:t>
      </w:r>
      <w:r w:rsidR="000C6D3F">
        <w:rPr>
          <w:lang w:val="en-US"/>
        </w:rPr>
        <w:t>-P (Flight Recorder Panel)</w:t>
      </w:r>
      <w:r w:rsidR="00653CDD">
        <w:rPr>
          <w:lang w:val="en-US"/>
        </w:rPr>
        <w:t xml:space="preserve"> </w:t>
      </w:r>
      <w:r w:rsidR="00225A2B">
        <w:rPr>
          <w:lang w:val="en-US"/>
        </w:rPr>
        <w:t xml:space="preserve">was </w:t>
      </w:r>
      <w:r w:rsidR="00653CDD">
        <w:rPr>
          <w:lang w:val="en-US"/>
        </w:rPr>
        <w:t xml:space="preserve">designated to </w:t>
      </w:r>
      <w:r w:rsidR="008116F2">
        <w:rPr>
          <w:lang w:val="en-US"/>
        </w:rPr>
        <w:t>develop</w:t>
      </w:r>
      <w:r w:rsidR="00653CDD">
        <w:rPr>
          <w:lang w:val="en-US"/>
        </w:rPr>
        <w:t xml:space="preserve"> proposed amendments</w:t>
      </w:r>
      <w:r w:rsidR="00D50DE3">
        <w:rPr>
          <w:lang w:val="en-US"/>
        </w:rPr>
        <w:t xml:space="preserve"> to Annex 6</w:t>
      </w:r>
      <w:r w:rsidR="00653CDD">
        <w:rPr>
          <w:lang w:val="en-US"/>
        </w:rPr>
        <w:t xml:space="preserve"> for the installation of low-frequency </w:t>
      </w:r>
      <w:r w:rsidR="004C6D16">
        <w:rPr>
          <w:lang w:val="en-US"/>
        </w:rPr>
        <w:t xml:space="preserve">8.8 kHz </w:t>
      </w:r>
      <w:r w:rsidR="00653CDD">
        <w:rPr>
          <w:lang w:val="en-US"/>
        </w:rPr>
        <w:t>UL</w:t>
      </w:r>
      <w:r w:rsidR="00F37B86">
        <w:rPr>
          <w:lang w:val="en-US"/>
        </w:rPr>
        <w:t>D</w:t>
      </w:r>
      <w:r w:rsidR="00D50DE3">
        <w:rPr>
          <w:lang w:val="en-US"/>
        </w:rPr>
        <w:t>s</w:t>
      </w:r>
      <w:r w:rsidR="001F2E90">
        <w:rPr>
          <w:lang w:val="en-US"/>
        </w:rPr>
        <w:t>. It was also proposed</w:t>
      </w:r>
      <w:r w:rsidR="00653CDD">
        <w:rPr>
          <w:lang w:val="en-US"/>
        </w:rPr>
        <w:t xml:space="preserve"> </w:t>
      </w:r>
      <w:r w:rsidR="009C19B2">
        <w:rPr>
          <w:lang w:val="en-US"/>
        </w:rPr>
        <w:t>to extend</w:t>
      </w:r>
      <w:r w:rsidR="00653CDD">
        <w:rPr>
          <w:lang w:val="en-US"/>
        </w:rPr>
        <w:t xml:space="preserve"> the duration of UL</w:t>
      </w:r>
      <w:r w:rsidR="00F37B86">
        <w:rPr>
          <w:lang w:val="en-US"/>
        </w:rPr>
        <w:t>D</w:t>
      </w:r>
      <w:r w:rsidR="005D2B37">
        <w:rPr>
          <w:lang w:val="en-US"/>
        </w:rPr>
        <w:t>’</w:t>
      </w:r>
      <w:r w:rsidR="001F2E90">
        <w:rPr>
          <w:lang w:val="en-US"/>
        </w:rPr>
        <w:t>s</w:t>
      </w:r>
      <w:r w:rsidR="00D50DE3">
        <w:rPr>
          <w:lang w:val="en-US"/>
        </w:rPr>
        <w:t xml:space="preserve"> battery life</w:t>
      </w:r>
      <w:r w:rsidR="00653CDD">
        <w:rPr>
          <w:lang w:val="en-US"/>
        </w:rPr>
        <w:t xml:space="preserve"> from 30 to 90 days.</w:t>
      </w:r>
      <w:r w:rsidR="009C19B2">
        <w:rPr>
          <w:lang w:val="en-US"/>
        </w:rPr>
        <w:t xml:space="preserve"> </w:t>
      </w:r>
      <w:r w:rsidR="00F52C7C">
        <w:rPr>
          <w:lang w:val="en-US"/>
        </w:rPr>
        <w:t>My impression was</w:t>
      </w:r>
      <w:r w:rsidR="004759EF">
        <w:rPr>
          <w:lang w:val="en-US"/>
        </w:rPr>
        <w:t xml:space="preserve"> that ICAO was very reactive on this matter</w:t>
      </w:r>
      <w:r w:rsidR="00F52C7C">
        <w:rPr>
          <w:lang w:val="en-US"/>
        </w:rPr>
        <w:t>,</w:t>
      </w:r>
      <w:r w:rsidR="00B011C6">
        <w:rPr>
          <w:lang w:val="en-US"/>
        </w:rPr>
        <w:t xml:space="preserve"> because the AF447 event was fresh in the mind of the Air Navigation </w:t>
      </w:r>
      <w:r w:rsidR="00D50DE3">
        <w:rPr>
          <w:lang w:val="en-US"/>
        </w:rPr>
        <w:t>C</w:t>
      </w:r>
      <w:r w:rsidR="00B011C6">
        <w:rPr>
          <w:lang w:val="en-US"/>
        </w:rPr>
        <w:t>ommissioners</w:t>
      </w:r>
      <w:r w:rsidR="00FD0017">
        <w:rPr>
          <w:lang w:val="en-US"/>
        </w:rPr>
        <w:t xml:space="preserve"> </w:t>
      </w:r>
      <w:r w:rsidR="00B011C6">
        <w:rPr>
          <w:lang w:val="en-US"/>
        </w:rPr>
        <w:t xml:space="preserve">and the wreckage </w:t>
      </w:r>
      <w:r w:rsidR="001F2E90">
        <w:rPr>
          <w:lang w:val="en-US"/>
        </w:rPr>
        <w:t xml:space="preserve">had, at that time, </w:t>
      </w:r>
      <w:r w:rsidR="00B011C6">
        <w:rPr>
          <w:lang w:val="en-US"/>
        </w:rPr>
        <w:t xml:space="preserve">still </w:t>
      </w:r>
      <w:r w:rsidR="001F2E90">
        <w:rPr>
          <w:lang w:val="en-US"/>
        </w:rPr>
        <w:t xml:space="preserve">not been </w:t>
      </w:r>
      <w:r w:rsidR="00B011C6">
        <w:rPr>
          <w:lang w:val="en-US"/>
        </w:rPr>
        <w:t>found,</w:t>
      </w:r>
      <w:r w:rsidR="004759EF">
        <w:rPr>
          <w:lang w:val="en-US"/>
        </w:rPr>
        <w:t xml:space="preserve"> in addition to the fact </w:t>
      </w:r>
      <w:r w:rsidR="00FD0017">
        <w:rPr>
          <w:lang w:val="en-US"/>
        </w:rPr>
        <w:t xml:space="preserve">that the extension of battery life of ULDs was a low cost </w:t>
      </w:r>
      <w:r w:rsidR="00900AC0">
        <w:rPr>
          <w:lang w:val="en-US"/>
        </w:rPr>
        <w:t xml:space="preserve">solution. </w:t>
      </w:r>
    </w:p>
    <w:p w:rsidR="00FD7A1D" w:rsidRDefault="00614AAB" w:rsidP="00F37B86">
      <w:pPr>
        <w:jc w:val="both"/>
        <w:rPr>
          <w:lang w:val="en-US"/>
        </w:rPr>
      </w:pPr>
      <w:r>
        <w:rPr>
          <w:lang w:val="en-US"/>
        </w:rPr>
        <w:t xml:space="preserve">The </w:t>
      </w:r>
      <w:r w:rsidR="004B0AC5">
        <w:rPr>
          <w:lang w:val="en-US"/>
        </w:rPr>
        <w:t>recommendations</w:t>
      </w:r>
      <w:r w:rsidR="001F2E90">
        <w:rPr>
          <w:lang w:val="en-US"/>
        </w:rPr>
        <w:t xml:space="preserve"> on UL</w:t>
      </w:r>
      <w:r w:rsidR="00F37B86">
        <w:rPr>
          <w:lang w:val="en-US"/>
        </w:rPr>
        <w:t>D</w:t>
      </w:r>
      <w:r w:rsidR="001F2E90">
        <w:rPr>
          <w:lang w:val="en-US"/>
        </w:rPr>
        <w:t xml:space="preserve">s </w:t>
      </w:r>
      <w:r w:rsidR="004B0AC5">
        <w:rPr>
          <w:lang w:val="en-US"/>
        </w:rPr>
        <w:t xml:space="preserve">were implemented </w:t>
      </w:r>
      <w:r w:rsidR="001F2E90">
        <w:rPr>
          <w:lang w:val="en-US"/>
        </w:rPr>
        <w:t xml:space="preserve">quickly </w:t>
      </w:r>
      <w:r w:rsidR="004B0AC5">
        <w:rPr>
          <w:lang w:val="en-US"/>
        </w:rPr>
        <w:t xml:space="preserve">by ICAO, </w:t>
      </w:r>
      <w:r>
        <w:rPr>
          <w:lang w:val="en-US"/>
        </w:rPr>
        <w:t>leading</w:t>
      </w:r>
      <w:r w:rsidR="004B0AC5">
        <w:rPr>
          <w:lang w:val="en-US"/>
        </w:rPr>
        <w:t xml:space="preserve"> to new carriage requirements becoming applicable on 1 January 2018</w:t>
      </w:r>
      <w:r w:rsidR="008116F2">
        <w:rPr>
          <w:lang w:val="en-US"/>
        </w:rPr>
        <w:t xml:space="preserve">. </w:t>
      </w:r>
      <w:r w:rsidR="00F52C7C">
        <w:rPr>
          <w:lang w:val="en-US"/>
        </w:rPr>
        <w:t xml:space="preserve">I, as chairman of the ICAO </w:t>
      </w:r>
      <w:r w:rsidR="000C6D3F">
        <w:rPr>
          <w:lang w:val="en-US"/>
        </w:rPr>
        <w:t>FLIREC</w:t>
      </w:r>
      <w:r w:rsidR="00F52C7C">
        <w:rPr>
          <w:lang w:val="en-US"/>
        </w:rPr>
        <w:t xml:space="preserve">, </w:t>
      </w:r>
      <w:r w:rsidR="00900AC0">
        <w:rPr>
          <w:lang w:val="en-US"/>
        </w:rPr>
        <w:t xml:space="preserve">then </w:t>
      </w:r>
      <w:r w:rsidR="003B46EA">
        <w:rPr>
          <w:lang w:val="en-US"/>
        </w:rPr>
        <w:t xml:space="preserve">conducted </w:t>
      </w:r>
      <w:r w:rsidR="008116F2">
        <w:rPr>
          <w:lang w:val="en-US"/>
        </w:rPr>
        <w:t xml:space="preserve">a survey </w:t>
      </w:r>
      <w:r w:rsidR="003B46EA">
        <w:rPr>
          <w:lang w:val="en-US"/>
        </w:rPr>
        <w:t xml:space="preserve">on </w:t>
      </w:r>
      <w:r w:rsidR="00F52C7C">
        <w:rPr>
          <w:lang w:val="en-US"/>
        </w:rPr>
        <w:t>the implemen</w:t>
      </w:r>
      <w:r w:rsidR="00672300">
        <w:rPr>
          <w:lang w:val="en-US"/>
        </w:rPr>
        <w:t>tation of the 8.8 kHz</w:t>
      </w:r>
      <w:r w:rsidR="00F37B86">
        <w:rPr>
          <w:lang w:val="en-US"/>
        </w:rPr>
        <w:t xml:space="preserve"> ULD</w:t>
      </w:r>
      <w:r w:rsidR="00672300">
        <w:rPr>
          <w:lang w:val="en-US"/>
        </w:rPr>
        <w:t xml:space="preserve"> </w:t>
      </w:r>
      <w:r w:rsidR="00D50DE3">
        <w:rPr>
          <w:lang w:val="en-US"/>
        </w:rPr>
        <w:t>S</w:t>
      </w:r>
      <w:r w:rsidR="00672300">
        <w:rPr>
          <w:lang w:val="en-US"/>
        </w:rPr>
        <w:t xml:space="preserve">tandard </w:t>
      </w:r>
      <w:r w:rsidR="003B46EA">
        <w:rPr>
          <w:lang w:val="en-US"/>
        </w:rPr>
        <w:t xml:space="preserve">in </w:t>
      </w:r>
      <w:r w:rsidR="00F52C7C">
        <w:rPr>
          <w:lang w:val="en-US"/>
        </w:rPr>
        <w:t xml:space="preserve">worldwide </w:t>
      </w:r>
      <w:r w:rsidR="00FD7A1D">
        <w:rPr>
          <w:lang w:val="en-US"/>
        </w:rPr>
        <w:lastRenderedPageBreak/>
        <w:t>national regulation</w:t>
      </w:r>
      <w:r w:rsidR="00F52C7C">
        <w:rPr>
          <w:lang w:val="en-US"/>
        </w:rPr>
        <w:t>s</w:t>
      </w:r>
      <w:r w:rsidR="00FD7A1D">
        <w:rPr>
          <w:lang w:val="en-US"/>
        </w:rPr>
        <w:t xml:space="preserve">. </w:t>
      </w:r>
      <w:r w:rsidR="00F52C7C">
        <w:rPr>
          <w:lang w:val="en-US"/>
        </w:rPr>
        <w:t>As of today</w:t>
      </w:r>
      <w:r w:rsidR="003B46EA">
        <w:rPr>
          <w:lang w:val="en-US"/>
        </w:rPr>
        <w:t>,</w:t>
      </w:r>
      <w:r w:rsidR="00F52C7C">
        <w:rPr>
          <w:lang w:val="en-US"/>
        </w:rPr>
        <w:t xml:space="preserve"> 3</w:t>
      </w:r>
      <w:r w:rsidR="000F1576">
        <w:rPr>
          <w:lang w:val="en-US"/>
        </w:rPr>
        <w:t>7</w:t>
      </w:r>
      <w:r w:rsidR="00F52C7C">
        <w:rPr>
          <w:lang w:val="en-US"/>
        </w:rPr>
        <w:t xml:space="preserve"> </w:t>
      </w:r>
      <w:r w:rsidR="00913076">
        <w:rPr>
          <w:lang w:val="en-US"/>
        </w:rPr>
        <w:t>countries</w:t>
      </w:r>
      <w:r w:rsidR="00F52C7C">
        <w:rPr>
          <w:lang w:val="en-US"/>
        </w:rPr>
        <w:t xml:space="preserve"> have modified their local regulations. </w:t>
      </w:r>
      <w:r w:rsidR="00FD7A1D">
        <w:rPr>
          <w:lang w:val="en-US"/>
        </w:rPr>
        <w:t xml:space="preserve">Among these, </w:t>
      </w:r>
      <w:r w:rsidR="00997DF1">
        <w:rPr>
          <w:lang w:val="en-US"/>
        </w:rPr>
        <w:t>32</w:t>
      </w:r>
      <w:r w:rsidR="00FD7A1D">
        <w:rPr>
          <w:lang w:val="en-US"/>
        </w:rPr>
        <w:t xml:space="preserve"> are European.</w:t>
      </w:r>
      <w:r w:rsidR="00032C38">
        <w:rPr>
          <w:lang w:val="en-US"/>
        </w:rPr>
        <w:t xml:space="preserve"> </w:t>
      </w:r>
      <w:r w:rsidR="00997DF1" w:rsidRPr="00997DF1">
        <w:rPr>
          <w:lang w:val="en-US"/>
        </w:rPr>
        <w:t>The other Regulations that have included these new provisions are coming from</w:t>
      </w:r>
      <w:r w:rsidR="00032C38">
        <w:rPr>
          <w:lang w:val="en-US"/>
        </w:rPr>
        <w:t xml:space="preserve"> </w:t>
      </w:r>
      <w:r w:rsidR="0015169F">
        <w:rPr>
          <w:lang w:val="en-US"/>
        </w:rPr>
        <w:t xml:space="preserve">Thailand, </w:t>
      </w:r>
      <w:r w:rsidR="0015169F" w:rsidRPr="0015169F">
        <w:rPr>
          <w:lang w:val="en-US"/>
        </w:rPr>
        <w:t>United Arab Emirates</w:t>
      </w:r>
      <w:r w:rsidR="0015169F">
        <w:rPr>
          <w:lang w:val="en-US"/>
        </w:rPr>
        <w:t xml:space="preserve">, </w:t>
      </w:r>
      <w:r w:rsidR="0015169F" w:rsidRPr="0015169F">
        <w:rPr>
          <w:lang w:val="en-US"/>
        </w:rPr>
        <w:t>China Hong Kong Special Administrative Region</w:t>
      </w:r>
      <w:r w:rsidR="0015169F">
        <w:rPr>
          <w:lang w:val="en-US"/>
        </w:rPr>
        <w:t xml:space="preserve">, </w:t>
      </w:r>
      <w:r w:rsidR="0015169F" w:rsidRPr="0015169F">
        <w:rPr>
          <w:lang w:val="en-US"/>
        </w:rPr>
        <w:t>China Macao Special Administrative Region</w:t>
      </w:r>
      <w:r w:rsidR="0015169F">
        <w:rPr>
          <w:lang w:val="en-US"/>
        </w:rPr>
        <w:t xml:space="preserve">, </w:t>
      </w:r>
      <w:r w:rsidR="00E651C9">
        <w:rPr>
          <w:lang w:val="en-US"/>
        </w:rPr>
        <w:t xml:space="preserve">and </w:t>
      </w:r>
      <w:r w:rsidR="00E26CD1">
        <w:rPr>
          <w:lang w:val="en-US"/>
        </w:rPr>
        <w:t xml:space="preserve">the Republic of the </w:t>
      </w:r>
      <w:r w:rsidR="00E651C9">
        <w:rPr>
          <w:lang w:val="en-US"/>
        </w:rPr>
        <w:t>Philippines</w:t>
      </w:r>
      <w:r w:rsidR="0015169F">
        <w:rPr>
          <w:lang w:val="en-US"/>
        </w:rPr>
        <w:t xml:space="preserve">. </w:t>
      </w:r>
      <w:r w:rsidR="003B46EA">
        <w:rPr>
          <w:lang w:val="en-US"/>
        </w:rPr>
        <w:t>Development of n</w:t>
      </w:r>
      <w:r w:rsidR="0015169F">
        <w:rPr>
          <w:lang w:val="en-US"/>
        </w:rPr>
        <w:t>ational regulation</w:t>
      </w:r>
      <w:r w:rsidR="003B46EA">
        <w:rPr>
          <w:lang w:val="en-US"/>
        </w:rPr>
        <w:t>s</w:t>
      </w:r>
      <w:r w:rsidR="0015169F">
        <w:rPr>
          <w:lang w:val="en-US"/>
        </w:rPr>
        <w:t xml:space="preserve"> is </w:t>
      </w:r>
      <w:r w:rsidR="003B46EA">
        <w:rPr>
          <w:lang w:val="en-US"/>
        </w:rPr>
        <w:t>under way</w:t>
      </w:r>
      <w:r w:rsidR="0015169F">
        <w:rPr>
          <w:lang w:val="en-US"/>
        </w:rPr>
        <w:t xml:space="preserve"> in </w:t>
      </w:r>
      <w:r w:rsidR="00913076">
        <w:rPr>
          <w:lang w:val="en-US"/>
        </w:rPr>
        <w:t>other parts of the world</w:t>
      </w:r>
      <w:r w:rsidR="0015169F">
        <w:rPr>
          <w:lang w:val="en-US"/>
        </w:rPr>
        <w:t>.</w:t>
      </w:r>
    </w:p>
    <w:p w:rsidR="00C714B8" w:rsidRDefault="00032C38" w:rsidP="008E7D64">
      <w:pPr>
        <w:jc w:val="both"/>
        <w:rPr>
          <w:lang w:val="en-US"/>
        </w:rPr>
      </w:pPr>
      <w:r>
        <w:rPr>
          <w:lang w:val="en-US"/>
        </w:rPr>
        <w:t>The acceptance of the o</w:t>
      </w:r>
      <w:r w:rsidR="00EE18A2">
        <w:rPr>
          <w:lang w:val="en-US"/>
        </w:rPr>
        <w:t xml:space="preserve">ther </w:t>
      </w:r>
      <w:r w:rsidR="00DA718F">
        <w:rPr>
          <w:lang w:val="en-US"/>
        </w:rPr>
        <w:t xml:space="preserve">more </w:t>
      </w:r>
      <w:r w:rsidR="00ED217D">
        <w:rPr>
          <w:lang w:val="en-US"/>
        </w:rPr>
        <w:t xml:space="preserve">complex </w:t>
      </w:r>
      <w:r w:rsidR="00EE18A2">
        <w:rPr>
          <w:lang w:val="en-US"/>
        </w:rPr>
        <w:t xml:space="preserve">recommendations </w:t>
      </w:r>
      <w:r w:rsidR="003B46EA">
        <w:rPr>
          <w:lang w:val="en-US"/>
        </w:rPr>
        <w:t>relating</w:t>
      </w:r>
      <w:r w:rsidR="003F595D" w:rsidRPr="003F595D">
        <w:rPr>
          <w:lang w:val="en-US"/>
        </w:rPr>
        <w:t xml:space="preserve"> to </w:t>
      </w:r>
      <w:r w:rsidR="003B46EA">
        <w:rPr>
          <w:lang w:val="en-US"/>
        </w:rPr>
        <w:t xml:space="preserve">position </w:t>
      </w:r>
      <w:r w:rsidR="003F595D">
        <w:rPr>
          <w:lang w:val="en-US"/>
        </w:rPr>
        <w:t>report</w:t>
      </w:r>
      <w:r w:rsidR="003B46EA">
        <w:rPr>
          <w:lang w:val="en-US"/>
        </w:rPr>
        <w:t>ing</w:t>
      </w:r>
      <w:r w:rsidR="00A208E3">
        <w:rPr>
          <w:lang w:val="en-US"/>
        </w:rPr>
        <w:t>, localization of an aircraft in distress</w:t>
      </w:r>
      <w:r w:rsidR="003F595D">
        <w:rPr>
          <w:lang w:val="en-US"/>
        </w:rPr>
        <w:t xml:space="preserve"> and timely flight data recovery</w:t>
      </w:r>
      <w:r w:rsidR="00EE18A2">
        <w:rPr>
          <w:lang w:val="en-US"/>
        </w:rPr>
        <w:t xml:space="preserve"> </w:t>
      </w:r>
      <w:r w:rsidR="00323FC0">
        <w:rPr>
          <w:lang w:val="en-US"/>
        </w:rPr>
        <w:t xml:space="preserve">took longer and </w:t>
      </w:r>
      <w:r w:rsidR="003B46EA">
        <w:rPr>
          <w:lang w:val="en-US"/>
        </w:rPr>
        <w:t xml:space="preserve">they </w:t>
      </w:r>
      <w:r w:rsidR="001A1366">
        <w:rPr>
          <w:lang w:val="en-US"/>
        </w:rPr>
        <w:t xml:space="preserve">were </w:t>
      </w:r>
      <w:r w:rsidR="00ED217D" w:rsidRPr="004E176E">
        <w:rPr>
          <w:lang w:val="en-US"/>
        </w:rPr>
        <w:t xml:space="preserve">rejected </w:t>
      </w:r>
      <w:r w:rsidR="00FF0BBC" w:rsidRPr="004E176E">
        <w:rPr>
          <w:lang w:val="en-US"/>
        </w:rPr>
        <w:t>a first time in 201</w:t>
      </w:r>
      <w:r w:rsidR="00BE1F20" w:rsidRPr="004E176E">
        <w:rPr>
          <w:lang w:val="en-US"/>
        </w:rPr>
        <w:t>2</w:t>
      </w:r>
      <w:r w:rsidR="00FF0BBC" w:rsidRPr="004E176E">
        <w:rPr>
          <w:lang w:val="en-US"/>
        </w:rPr>
        <w:t xml:space="preserve"> and a second time in 201</w:t>
      </w:r>
      <w:r w:rsidR="00BE1F20" w:rsidRPr="004E176E">
        <w:rPr>
          <w:lang w:val="en-US"/>
        </w:rPr>
        <w:t>3</w:t>
      </w:r>
      <w:r w:rsidR="00614AAB" w:rsidRPr="004E176E">
        <w:rPr>
          <w:lang w:val="en-US"/>
        </w:rPr>
        <w:t xml:space="preserve"> by the </w:t>
      </w:r>
      <w:r w:rsidR="003B46EA" w:rsidRPr="004E176E">
        <w:rPr>
          <w:lang w:val="en-US"/>
        </w:rPr>
        <w:t xml:space="preserve">ICAO </w:t>
      </w:r>
      <w:r w:rsidR="00614AAB" w:rsidRPr="004E176E">
        <w:rPr>
          <w:lang w:val="en-US"/>
        </w:rPr>
        <w:t>Air Navigation Commission</w:t>
      </w:r>
      <w:r w:rsidR="00614AAB">
        <w:rPr>
          <w:lang w:val="en-US"/>
        </w:rPr>
        <w:t xml:space="preserve"> (ANC)</w:t>
      </w:r>
      <w:r w:rsidR="003F595D" w:rsidRPr="003F595D">
        <w:rPr>
          <w:lang w:val="en-US"/>
        </w:rPr>
        <w:t>.</w:t>
      </w:r>
      <w:r w:rsidR="00323FC0">
        <w:rPr>
          <w:lang w:val="en-US"/>
        </w:rPr>
        <w:t xml:space="preserve"> </w:t>
      </w:r>
      <w:r w:rsidR="003B46EA">
        <w:rPr>
          <w:lang w:val="en-US"/>
        </w:rPr>
        <w:t>This, d</w:t>
      </w:r>
      <w:r w:rsidR="009D3BE7">
        <w:rPr>
          <w:lang w:val="en-US"/>
        </w:rPr>
        <w:t>espite the fact that</w:t>
      </w:r>
      <w:r w:rsidR="003B46EA">
        <w:rPr>
          <w:lang w:val="en-US"/>
        </w:rPr>
        <w:t xml:space="preserve"> </w:t>
      </w:r>
      <w:r w:rsidR="00F52C7C">
        <w:rPr>
          <w:lang w:val="en-US"/>
        </w:rPr>
        <w:t>Arnaud and I wrote</w:t>
      </w:r>
      <w:r w:rsidR="004C6D16">
        <w:rPr>
          <w:lang w:val="en-US"/>
        </w:rPr>
        <w:t xml:space="preserve"> safety recommendations</w:t>
      </w:r>
      <w:r w:rsidR="0022125F">
        <w:rPr>
          <w:lang w:val="en-US"/>
        </w:rPr>
        <w:t>,</w:t>
      </w:r>
      <w:r w:rsidR="004C6D16">
        <w:rPr>
          <w:lang w:val="en-US"/>
        </w:rPr>
        <w:t xml:space="preserve"> </w:t>
      </w:r>
      <w:r w:rsidR="0022125F" w:rsidRPr="00703728">
        <w:rPr>
          <w:lang w:val="en-US"/>
        </w:rPr>
        <w:t>in the framework of the AF447 investigation</w:t>
      </w:r>
      <w:r w:rsidR="0022125F">
        <w:rPr>
          <w:lang w:val="en-US"/>
        </w:rPr>
        <w:t xml:space="preserve">, </w:t>
      </w:r>
      <w:r w:rsidR="004C6D16">
        <w:rPr>
          <w:lang w:val="en-US"/>
        </w:rPr>
        <w:t xml:space="preserve">based on the results of the work of </w:t>
      </w:r>
      <w:r w:rsidR="0082327F">
        <w:rPr>
          <w:lang w:val="en-US"/>
        </w:rPr>
        <w:t>the</w:t>
      </w:r>
      <w:r w:rsidR="004C6D16">
        <w:rPr>
          <w:lang w:val="en-US"/>
        </w:rPr>
        <w:t xml:space="preserve"> </w:t>
      </w:r>
      <w:r w:rsidR="0022125F">
        <w:rPr>
          <w:lang w:val="en-US"/>
        </w:rPr>
        <w:t>i</w:t>
      </w:r>
      <w:r w:rsidR="004C6D16">
        <w:rPr>
          <w:lang w:val="en-US"/>
        </w:rPr>
        <w:t xml:space="preserve">nternational </w:t>
      </w:r>
      <w:r w:rsidR="00614AAB">
        <w:rPr>
          <w:lang w:val="en-US"/>
        </w:rPr>
        <w:t>Triggered Transmission of Flight Data Working G</w:t>
      </w:r>
      <w:r w:rsidR="004C6D16">
        <w:rPr>
          <w:lang w:val="en-US"/>
        </w:rPr>
        <w:t>roup</w:t>
      </w:r>
      <w:r w:rsidR="00703728" w:rsidRPr="00703728">
        <w:rPr>
          <w:lang w:val="en-US"/>
        </w:rPr>
        <w:t xml:space="preserve"> </w:t>
      </w:r>
      <w:r w:rsidR="00703728">
        <w:rPr>
          <w:lang w:val="en-US"/>
        </w:rPr>
        <w:t>(TTFD)</w:t>
      </w:r>
      <w:r w:rsidR="00797D1D">
        <w:rPr>
          <w:lang w:val="en-US"/>
        </w:rPr>
        <w:t>,</w:t>
      </w:r>
      <w:r w:rsidR="00703728">
        <w:rPr>
          <w:lang w:val="en-US"/>
        </w:rPr>
        <w:t xml:space="preserve"> </w:t>
      </w:r>
      <w:r w:rsidR="0022125F">
        <w:rPr>
          <w:lang w:val="en-US"/>
        </w:rPr>
        <w:t>which had</w:t>
      </w:r>
      <w:r w:rsidR="004C6D16">
        <w:rPr>
          <w:lang w:val="en-US"/>
        </w:rPr>
        <w:t xml:space="preserve"> more than 100 members.</w:t>
      </w:r>
      <w:r w:rsidR="009D3BE7">
        <w:rPr>
          <w:lang w:val="en-US"/>
        </w:rPr>
        <w:t xml:space="preserve"> </w:t>
      </w:r>
      <w:r w:rsidR="00F52C7C">
        <w:rPr>
          <w:lang w:val="en-US"/>
        </w:rPr>
        <w:t>We</w:t>
      </w:r>
      <w:r w:rsidR="005A27AA" w:rsidRPr="005A27AA">
        <w:rPr>
          <w:lang w:val="en-US"/>
        </w:rPr>
        <w:t xml:space="preserve"> created this working group to assess the technica</w:t>
      </w:r>
      <w:r w:rsidR="005A27AA">
        <w:rPr>
          <w:lang w:val="en-US"/>
        </w:rPr>
        <w:t xml:space="preserve">l feasibility of triggering </w:t>
      </w:r>
      <w:r w:rsidR="00614AAB">
        <w:rPr>
          <w:lang w:val="en-US"/>
        </w:rPr>
        <w:t xml:space="preserve">in-flight </w:t>
      </w:r>
      <w:r w:rsidR="005A27AA" w:rsidRPr="005A27AA">
        <w:rPr>
          <w:lang w:val="en-US"/>
        </w:rPr>
        <w:t xml:space="preserve">transmission of data </w:t>
      </w:r>
      <w:r w:rsidR="003B46EA">
        <w:rPr>
          <w:lang w:val="en-US"/>
        </w:rPr>
        <w:t xml:space="preserve">based </w:t>
      </w:r>
      <w:r w:rsidR="005A27AA" w:rsidRPr="005A27AA">
        <w:rPr>
          <w:lang w:val="en-US"/>
        </w:rPr>
        <w:t xml:space="preserve">on indication of </w:t>
      </w:r>
      <w:r w:rsidR="003B46EA">
        <w:rPr>
          <w:lang w:val="en-US"/>
        </w:rPr>
        <w:t xml:space="preserve">an </w:t>
      </w:r>
      <w:r w:rsidR="005A27AA" w:rsidRPr="005A27AA">
        <w:rPr>
          <w:lang w:val="en-US"/>
        </w:rPr>
        <w:t>emergency in order to help loca</w:t>
      </w:r>
      <w:r w:rsidR="005A27AA">
        <w:rPr>
          <w:lang w:val="en-US"/>
        </w:rPr>
        <w:t xml:space="preserve">te wreckage after </w:t>
      </w:r>
      <w:r w:rsidR="005A27AA" w:rsidRPr="005A27AA">
        <w:rPr>
          <w:lang w:val="en-US"/>
        </w:rPr>
        <w:t>accidents of fixed-wing aircraft over maritime or remote areas</w:t>
      </w:r>
      <w:r w:rsidR="005A27AA">
        <w:rPr>
          <w:lang w:val="en-US"/>
        </w:rPr>
        <w:t>.</w:t>
      </w:r>
      <w:r w:rsidR="005A27AA" w:rsidRPr="005A27AA">
        <w:rPr>
          <w:lang w:val="en-US"/>
        </w:rPr>
        <w:t xml:space="preserve"> </w:t>
      </w:r>
      <w:r w:rsidR="00F52C7C">
        <w:rPr>
          <w:lang w:val="en-US"/>
        </w:rPr>
        <w:t xml:space="preserve">We </w:t>
      </w:r>
      <w:r w:rsidR="003B46EA">
        <w:rPr>
          <w:lang w:val="en-US"/>
        </w:rPr>
        <w:t xml:space="preserve">pursued </w:t>
      </w:r>
      <w:r w:rsidR="00F52C7C">
        <w:rPr>
          <w:lang w:val="en-US"/>
        </w:rPr>
        <w:t xml:space="preserve">this concept of detection of a distress situation despite </w:t>
      </w:r>
      <w:r w:rsidR="003B46EA">
        <w:rPr>
          <w:lang w:val="en-US"/>
        </w:rPr>
        <w:t xml:space="preserve">some people </w:t>
      </w:r>
      <w:r w:rsidR="004D3B9B">
        <w:rPr>
          <w:lang w:val="en-US"/>
        </w:rPr>
        <w:t xml:space="preserve">explaining that it </w:t>
      </w:r>
      <w:r w:rsidR="003B46EA">
        <w:rPr>
          <w:lang w:val="en-US"/>
        </w:rPr>
        <w:t xml:space="preserve">would </w:t>
      </w:r>
      <w:r w:rsidR="004D3B9B">
        <w:rPr>
          <w:lang w:val="en-US"/>
        </w:rPr>
        <w:t xml:space="preserve">not work, that detection </w:t>
      </w:r>
      <w:r w:rsidR="003B46EA">
        <w:rPr>
          <w:lang w:val="en-US"/>
        </w:rPr>
        <w:t xml:space="preserve">would </w:t>
      </w:r>
      <w:r w:rsidR="004D3B9B">
        <w:rPr>
          <w:lang w:val="en-US"/>
        </w:rPr>
        <w:t xml:space="preserve">not occur </w:t>
      </w:r>
      <w:r w:rsidR="00475DE2">
        <w:rPr>
          <w:lang w:val="en-US"/>
        </w:rPr>
        <w:t xml:space="preserve">with </w:t>
      </w:r>
      <w:r w:rsidR="004D3B9B">
        <w:rPr>
          <w:lang w:val="en-US"/>
        </w:rPr>
        <w:t>sufficient time before im</w:t>
      </w:r>
      <w:r w:rsidR="00672300">
        <w:rPr>
          <w:lang w:val="en-US"/>
        </w:rPr>
        <w:t>pact…</w:t>
      </w:r>
      <w:r w:rsidR="004D3B9B">
        <w:rPr>
          <w:lang w:val="en-US"/>
        </w:rPr>
        <w:t xml:space="preserve"> </w:t>
      </w:r>
      <w:r w:rsidR="009D3BE7">
        <w:rPr>
          <w:lang w:val="en-US"/>
        </w:rPr>
        <w:t xml:space="preserve">It </w:t>
      </w:r>
      <w:r w:rsidR="004C6D16">
        <w:rPr>
          <w:lang w:val="en-US"/>
        </w:rPr>
        <w:t>i</w:t>
      </w:r>
      <w:r w:rsidR="009D3BE7">
        <w:rPr>
          <w:lang w:val="en-US"/>
        </w:rPr>
        <w:t>s</w:t>
      </w:r>
      <w:r w:rsidR="004C6D16">
        <w:rPr>
          <w:lang w:val="en-US"/>
        </w:rPr>
        <w:t xml:space="preserve"> true that the concept was more complex than the UL</w:t>
      </w:r>
      <w:r w:rsidR="00526F8C">
        <w:rPr>
          <w:lang w:val="en-US"/>
        </w:rPr>
        <w:t>D</w:t>
      </w:r>
      <w:r w:rsidR="004C6D16">
        <w:rPr>
          <w:lang w:val="en-US"/>
        </w:rPr>
        <w:t xml:space="preserve"> issue</w:t>
      </w:r>
      <w:r w:rsidR="00F52C7C">
        <w:rPr>
          <w:lang w:val="en-US"/>
        </w:rPr>
        <w:t xml:space="preserve">. In order </w:t>
      </w:r>
      <w:r w:rsidR="00703728">
        <w:rPr>
          <w:lang w:val="en-US"/>
        </w:rPr>
        <w:t xml:space="preserve">to </w:t>
      </w:r>
      <w:r w:rsidR="00F52C7C">
        <w:rPr>
          <w:lang w:val="en-US"/>
        </w:rPr>
        <w:t xml:space="preserve">ease </w:t>
      </w:r>
      <w:r w:rsidR="00703728">
        <w:rPr>
          <w:lang w:val="en-US"/>
        </w:rPr>
        <w:t xml:space="preserve">the work of </w:t>
      </w:r>
      <w:r w:rsidR="003B46EA">
        <w:rPr>
          <w:lang w:val="en-US"/>
        </w:rPr>
        <w:t xml:space="preserve">the </w:t>
      </w:r>
      <w:r w:rsidR="00703728">
        <w:rPr>
          <w:lang w:val="en-US"/>
        </w:rPr>
        <w:t>ANC</w:t>
      </w:r>
      <w:r w:rsidR="003B46EA">
        <w:rPr>
          <w:lang w:val="en-US"/>
        </w:rPr>
        <w:t>,</w:t>
      </w:r>
      <w:r w:rsidR="00703728">
        <w:rPr>
          <w:lang w:val="en-US"/>
        </w:rPr>
        <w:t xml:space="preserve"> </w:t>
      </w:r>
      <w:r w:rsidR="004D3B9B">
        <w:rPr>
          <w:lang w:val="en-US"/>
        </w:rPr>
        <w:t>we provided performance</w:t>
      </w:r>
      <w:r w:rsidR="003B46EA">
        <w:rPr>
          <w:lang w:val="en-US"/>
        </w:rPr>
        <w:t>-</w:t>
      </w:r>
      <w:r w:rsidR="004D3B9B">
        <w:rPr>
          <w:lang w:val="en-US"/>
        </w:rPr>
        <w:t>based values (4 NM and 1 minute)</w:t>
      </w:r>
      <w:r w:rsidR="009D3BE7">
        <w:rPr>
          <w:lang w:val="en-US"/>
        </w:rPr>
        <w:t xml:space="preserve">. </w:t>
      </w:r>
      <w:r w:rsidR="004D3B9B">
        <w:rPr>
          <w:lang w:val="en-US"/>
        </w:rPr>
        <w:t xml:space="preserve">The long term objective was also the certification of the means </w:t>
      </w:r>
      <w:r w:rsidR="003B46EA">
        <w:rPr>
          <w:lang w:val="en-US"/>
        </w:rPr>
        <w:t xml:space="preserve">of </w:t>
      </w:r>
      <w:r w:rsidR="004D3B9B">
        <w:rPr>
          <w:lang w:val="en-US"/>
        </w:rPr>
        <w:t>compl</w:t>
      </w:r>
      <w:r w:rsidR="003B46EA">
        <w:rPr>
          <w:lang w:val="en-US"/>
        </w:rPr>
        <w:t>iance</w:t>
      </w:r>
      <w:r w:rsidR="004D3B9B">
        <w:rPr>
          <w:lang w:val="en-US"/>
        </w:rPr>
        <w:t xml:space="preserve"> with the SARP</w:t>
      </w:r>
      <w:r w:rsidR="005F36DE">
        <w:rPr>
          <w:lang w:val="en-US"/>
        </w:rPr>
        <w:t>s</w:t>
      </w:r>
      <w:r w:rsidR="004D3B9B">
        <w:rPr>
          <w:lang w:val="en-US"/>
        </w:rPr>
        <w:t>. Despite all these efforts the FLIRECP proposal</w:t>
      </w:r>
      <w:r w:rsidR="0082327F">
        <w:rPr>
          <w:lang w:val="en-US"/>
        </w:rPr>
        <w:t>s</w:t>
      </w:r>
      <w:r w:rsidR="004D3B9B">
        <w:rPr>
          <w:lang w:val="en-US"/>
        </w:rPr>
        <w:t xml:space="preserve"> </w:t>
      </w:r>
      <w:r w:rsidR="000C6D3F">
        <w:rPr>
          <w:lang w:val="en-US"/>
        </w:rPr>
        <w:t xml:space="preserve">for Distress tracking (ELT-DT) </w:t>
      </w:r>
      <w:r w:rsidR="003B46EA">
        <w:rPr>
          <w:lang w:val="en-US"/>
        </w:rPr>
        <w:t>w</w:t>
      </w:r>
      <w:r w:rsidR="0082327F">
        <w:rPr>
          <w:lang w:val="en-US"/>
        </w:rPr>
        <w:t>ere</w:t>
      </w:r>
      <w:r w:rsidR="003B46EA">
        <w:rPr>
          <w:lang w:val="en-US"/>
        </w:rPr>
        <w:t xml:space="preserve"> </w:t>
      </w:r>
      <w:r w:rsidR="004D3B9B">
        <w:rPr>
          <w:lang w:val="en-US"/>
        </w:rPr>
        <w:t>rejected twice</w:t>
      </w:r>
      <w:r w:rsidR="00672300">
        <w:rPr>
          <w:lang w:val="en-US"/>
        </w:rPr>
        <w:t xml:space="preserve"> by the ANC</w:t>
      </w:r>
      <w:r w:rsidR="004D3B9B">
        <w:rPr>
          <w:lang w:val="en-US"/>
        </w:rPr>
        <w:t xml:space="preserve">. My </w:t>
      </w:r>
      <w:r w:rsidR="00526F8C">
        <w:rPr>
          <w:lang w:val="en-US"/>
        </w:rPr>
        <w:t xml:space="preserve">perception </w:t>
      </w:r>
      <w:r w:rsidR="004D3B9B">
        <w:rPr>
          <w:lang w:val="en-US"/>
        </w:rPr>
        <w:t xml:space="preserve">at that time was </w:t>
      </w:r>
      <w:r w:rsidR="00247431">
        <w:rPr>
          <w:lang w:val="en-US"/>
        </w:rPr>
        <w:t xml:space="preserve">that </w:t>
      </w:r>
      <w:r w:rsidR="00373D34">
        <w:rPr>
          <w:lang w:val="en-US"/>
        </w:rPr>
        <w:t>several members of the</w:t>
      </w:r>
      <w:r w:rsidR="00247431">
        <w:rPr>
          <w:lang w:val="en-US"/>
        </w:rPr>
        <w:t xml:space="preserve"> ANC </w:t>
      </w:r>
      <w:r w:rsidR="003D4879">
        <w:rPr>
          <w:lang w:val="en-US"/>
        </w:rPr>
        <w:t>were</w:t>
      </w:r>
      <w:r w:rsidR="00526F8C">
        <w:rPr>
          <w:lang w:val="en-US"/>
        </w:rPr>
        <w:t xml:space="preserve"> of the view</w:t>
      </w:r>
      <w:r w:rsidR="00247431">
        <w:rPr>
          <w:lang w:val="en-US"/>
        </w:rPr>
        <w:t xml:space="preserve"> that the </w:t>
      </w:r>
      <w:r w:rsidR="00672300">
        <w:rPr>
          <w:lang w:val="en-US"/>
        </w:rPr>
        <w:t>disappearance</w:t>
      </w:r>
      <w:r w:rsidR="00247431">
        <w:rPr>
          <w:lang w:val="en-US"/>
        </w:rPr>
        <w:t xml:space="preserve"> of </w:t>
      </w:r>
      <w:r w:rsidR="003B46EA">
        <w:rPr>
          <w:lang w:val="en-US"/>
        </w:rPr>
        <w:t xml:space="preserve">one </w:t>
      </w:r>
      <w:r w:rsidR="00247431">
        <w:rPr>
          <w:lang w:val="en-US"/>
        </w:rPr>
        <w:t>aircraft</w:t>
      </w:r>
      <w:r w:rsidR="004D3B9B">
        <w:rPr>
          <w:lang w:val="en-US"/>
        </w:rPr>
        <w:t xml:space="preserve"> </w:t>
      </w:r>
      <w:r w:rsidR="00247431">
        <w:rPr>
          <w:lang w:val="en-US"/>
        </w:rPr>
        <w:t>was a unique case and because the wreckage was found</w:t>
      </w:r>
      <w:r w:rsidR="00526F8C">
        <w:rPr>
          <w:lang w:val="en-US"/>
        </w:rPr>
        <w:t>,</w:t>
      </w:r>
      <w:r w:rsidR="00247431">
        <w:rPr>
          <w:lang w:val="en-US"/>
        </w:rPr>
        <w:t xml:space="preserve"> it was</w:t>
      </w:r>
      <w:r w:rsidR="003D4879">
        <w:rPr>
          <w:lang w:val="en-US"/>
        </w:rPr>
        <w:t xml:space="preserve"> not</w:t>
      </w:r>
      <w:r w:rsidR="00247431">
        <w:rPr>
          <w:lang w:val="en-US"/>
        </w:rPr>
        <w:t xml:space="preserve"> a top priority </w:t>
      </w:r>
      <w:r w:rsidR="00526F8C">
        <w:rPr>
          <w:lang w:val="en-US"/>
        </w:rPr>
        <w:t xml:space="preserve">anymore </w:t>
      </w:r>
      <w:r w:rsidR="00247431">
        <w:rPr>
          <w:lang w:val="en-US"/>
        </w:rPr>
        <w:t xml:space="preserve">to get new amendments regarding the location of an aircraft in distress. </w:t>
      </w:r>
      <w:r w:rsidR="00214CB3">
        <w:rPr>
          <w:lang w:val="en-US"/>
        </w:rPr>
        <w:t xml:space="preserve">The chart below </w:t>
      </w:r>
      <w:r w:rsidR="00247431">
        <w:rPr>
          <w:lang w:val="en-US"/>
        </w:rPr>
        <w:t xml:space="preserve">illustrates </w:t>
      </w:r>
      <w:r w:rsidR="00214CB3">
        <w:rPr>
          <w:lang w:val="en-US"/>
        </w:rPr>
        <w:t xml:space="preserve">the </w:t>
      </w:r>
      <w:r w:rsidR="00F163B6">
        <w:rPr>
          <w:lang w:val="en-US"/>
        </w:rPr>
        <w:t>I</w:t>
      </w:r>
      <w:r w:rsidR="00214CB3">
        <w:rPr>
          <w:lang w:val="en-US"/>
        </w:rPr>
        <w:t>C</w:t>
      </w:r>
      <w:r w:rsidR="00F163B6">
        <w:rPr>
          <w:lang w:val="en-US"/>
        </w:rPr>
        <w:t>A</w:t>
      </w:r>
      <w:r w:rsidR="00214CB3">
        <w:rPr>
          <w:lang w:val="en-US"/>
        </w:rPr>
        <w:t>O process on the two issues</w:t>
      </w:r>
      <w:r w:rsidR="005A27AA">
        <w:rPr>
          <w:lang w:val="en-US"/>
        </w:rPr>
        <w:t>: UL</w:t>
      </w:r>
      <w:r w:rsidR="008E7D64">
        <w:rPr>
          <w:lang w:val="en-US"/>
        </w:rPr>
        <w:t>D</w:t>
      </w:r>
      <w:r w:rsidR="003B46EA">
        <w:rPr>
          <w:lang w:val="en-US"/>
        </w:rPr>
        <w:t>s</w:t>
      </w:r>
      <w:r w:rsidR="005A27AA">
        <w:rPr>
          <w:lang w:val="en-US"/>
        </w:rPr>
        <w:t xml:space="preserve"> and location of an aircraft in distress </w:t>
      </w:r>
      <w:r w:rsidR="00614AAB">
        <w:rPr>
          <w:lang w:val="en-US"/>
        </w:rPr>
        <w:t>when using A</w:t>
      </w:r>
      <w:r>
        <w:rPr>
          <w:lang w:val="en-US"/>
        </w:rPr>
        <w:t>u</w:t>
      </w:r>
      <w:r w:rsidR="00614AAB">
        <w:rPr>
          <w:lang w:val="en-US"/>
        </w:rPr>
        <w:t xml:space="preserve">tonomous Distress Tracking </w:t>
      </w:r>
      <w:r w:rsidR="005A27AA">
        <w:rPr>
          <w:lang w:val="en-US"/>
        </w:rPr>
        <w:t>(ADT)</w:t>
      </w:r>
      <w:r w:rsidR="00214CB3">
        <w:rPr>
          <w:lang w:val="en-US"/>
        </w:rPr>
        <w:t xml:space="preserve">. </w:t>
      </w:r>
    </w:p>
    <w:p w:rsidR="00C714B8" w:rsidRPr="00F32D29" w:rsidRDefault="0026581E" w:rsidP="00F163B6">
      <w:pPr>
        <w:jc w:val="center"/>
        <w:rPr>
          <w:lang w:val="en-US"/>
        </w:rPr>
      </w:pPr>
      <w:r>
        <w:rPr>
          <w:noProof/>
          <w:lang w:eastAsia="fr-FR"/>
        </w:rPr>
        <w:drawing>
          <wp:inline distT="0" distB="0" distL="0" distR="0" wp14:anchorId="1B3D13BE" wp14:editId="112B324C">
            <wp:extent cx="4147457" cy="3080968"/>
            <wp:effectExtent l="0" t="0" r="5715"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47457" cy="3080968"/>
                    </a:xfrm>
                    <a:prstGeom prst="rect">
                      <a:avLst/>
                    </a:prstGeom>
                  </pic:spPr>
                </pic:pic>
              </a:graphicData>
            </a:graphic>
          </wp:inline>
        </w:drawing>
      </w:r>
    </w:p>
    <w:p w:rsidR="00A341C2" w:rsidRDefault="00323FC0" w:rsidP="004D6799">
      <w:pPr>
        <w:jc w:val="both"/>
        <w:rPr>
          <w:lang w:val="en-US"/>
        </w:rPr>
      </w:pPr>
      <w:r>
        <w:rPr>
          <w:lang w:val="en-US"/>
        </w:rPr>
        <w:lastRenderedPageBreak/>
        <w:t xml:space="preserve">It was after </w:t>
      </w:r>
      <w:r w:rsidR="00611DCA" w:rsidRPr="00611DCA">
        <w:rPr>
          <w:lang w:val="en-US"/>
        </w:rPr>
        <w:t xml:space="preserve">the </w:t>
      </w:r>
      <w:r w:rsidR="009C6968">
        <w:rPr>
          <w:lang w:val="en-US"/>
        </w:rPr>
        <w:t xml:space="preserve">loss of </w:t>
      </w:r>
      <w:r w:rsidR="00611DCA" w:rsidRPr="00611DCA">
        <w:rPr>
          <w:lang w:val="en-US"/>
        </w:rPr>
        <w:t xml:space="preserve">MH370 </w:t>
      </w:r>
      <w:r>
        <w:rPr>
          <w:lang w:val="en-US"/>
        </w:rPr>
        <w:t xml:space="preserve">that </w:t>
      </w:r>
      <w:r w:rsidR="005A27AA">
        <w:rPr>
          <w:lang w:val="en-US"/>
        </w:rPr>
        <w:t xml:space="preserve">the ICAO </w:t>
      </w:r>
      <w:r w:rsidR="00F32D29">
        <w:rPr>
          <w:lang w:val="en-US"/>
        </w:rPr>
        <w:t>ANC</w:t>
      </w:r>
      <w:r w:rsidR="00A341C2" w:rsidRPr="00A341C2">
        <w:rPr>
          <w:lang w:val="en-US"/>
        </w:rPr>
        <w:t xml:space="preserve"> agree</w:t>
      </w:r>
      <w:r w:rsidR="00247431">
        <w:rPr>
          <w:lang w:val="en-US"/>
        </w:rPr>
        <w:t xml:space="preserve">d </w:t>
      </w:r>
      <w:r w:rsidR="003C7240">
        <w:rPr>
          <w:lang w:val="en-US"/>
        </w:rPr>
        <w:t xml:space="preserve">on </w:t>
      </w:r>
      <w:r w:rsidR="00247431">
        <w:rPr>
          <w:lang w:val="en-US"/>
        </w:rPr>
        <w:t xml:space="preserve">a new </w:t>
      </w:r>
      <w:r w:rsidR="004D6799">
        <w:rPr>
          <w:lang w:val="en-US"/>
        </w:rPr>
        <w:t xml:space="preserve">modified </w:t>
      </w:r>
      <w:r w:rsidR="00247431">
        <w:rPr>
          <w:lang w:val="en-US"/>
        </w:rPr>
        <w:t>proposal from the FLIRECP</w:t>
      </w:r>
      <w:r w:rsidR="00A341C2" w:rsidRPr="00A341C2">
        <w:rPr>
          <w:lang w:val="en-US"/>
        </w:rPr>
        <w:t xml:space="preserve"> on </w:t>
      </w:r>
      <w:r w:rsidR="00A341C2">
        <w:rPr>
          <w:lang w:val="en-US"/>
        </w:rPr>
        <w:t>establishing new international provisions</w:t>
      </w:r>
      <w:r w:rsidR="00A341C2" w:rsidRPr="00A341C2">
        <w:rPr>
          <w:lang w:val="en-US"/>
        </w:rPr>
        <w:t xml:space="preserve"> </w:t>
      </w:r>
      <w:r w:rsidR="00A341C2">
        <w:rPr>
          <w:lang w:val="en-US"/>
        </w:rPr>
        <w:t xml:space="preserve">on </w:t>
      </w:r>
      <w:r w:rsidR="005A27AA">
        <w:rPr>
          <w:lang w:val="en-US"/>
        </w:rPr>
        <w:t>location of an aircraft in distress and recovery of flight recorder data</w:t>
      </w:r>
      <w:r w:rsidR="00A341C2">
        <w:rPr>
          <w:lang w:val="en-US"/>
        </w:rPr>
        <w:t>.</w:t>
      </w:r>
    </w:p>
    <w:p w:rsidR="004E176E" w:rsidRDefault="004E176E" w:rsidP="004D6799">
      <w:pPr>
        <w:jc w:val="both"/>
        <w:rPr>
          <w:lang w:val="en-US"/>
        </w:rPr>
      </w:pPr>
      <w:r w:rsidRPr="004E176E">
        <w:rPr>
          <w:lang w:val="en-US"/>
        </w:rPr>
        <w:t xml:space="preserve">In response to a number of safety recommendations, including the ones from the BEA on the AF447 accident, EASA proposed, in Notice of Proposed Amendment (NPA) 2013-26, changes to the requirements for flight recorders and to mandate a long-range/low frequency underwater locater device (ULD) for certain aircraft in order to improve the possibility to locate a missing aircraft. This NPA was issued three months prior to the accident of MH370. This </w:t>
      </w:r>
      <w:r w:rsidR="00D9249A">
        <w:rPr>
          <w:lang w:val="en-US"/>
        </w:rPr>
        <w:t>disappearance</w:t>
      </w:r>
      <w:r w:rsidRPr="004E176E">
        <w:rPr>
          <w:lang w:val="en-US"/>
        </w:rPr>
        <w:t xml:space="preserve"> contributed to fast-track the preparation of EASA Opinion 01/2014 of 6 May 2014, which led to Commission Regulation (EU) 2015/2338 of 11 December 2015 establishing requirements for flight recorders, underwater locating devices and aircraft tracking systems.</w:t>
      </w:r>
    </w:p>
    <w:p w:rsidR="0090058C" w:rsidRDefault="0090058C" w:rsidP="004D6799">
      <w:pPr>
        <w:jc w:val="both"/>
        <w:rPr>
          <w:lang w:val="en-US"/>
        </w:rPr>
      </w:pPr>
    </w:p>
    <w:p w:rsidR="00E651C9" w:rsidRPr="00E651C9" w:rsidRDefault="00E651C9" w:rsidP="00E651C9">
      <w:pPr>
        <w:pStyle w:val="Paragraphedeliste"/>
        <w:numPr>
          <w:ilvl w:val="0"/>
          <w:numId w:val="5"/>
        </w:numPr>
        <w:jc w:val="both"/>
        <w:rPr>
          <w:b/>
          <w:lang w:val="en-US"/>
        </w:rPr>
      </w:pPr>
      <w:r w:rsidRPr="00E651C9">
        <w:rPr>
          <w:b/>
          <w:lang w:val="en-US"/>
        </w:rPr>
        <w:t xml:space="preserve">Lessons learned from </w:t>
      </w:r>
      <w:r>
        <w:rPr>
          <w:b/>
          <w:lang w:val="en-US"/>
        </w:rPr>
        <w:t xml:space="preserve">the </w:t>
      </w:r>
      <w:r w:rsidRPr="00E651C9">
        <w:rPr>
          <w:b/>
          <w:lang w:val="en-US"/>
        </w:rPr>
        <w:t>investigation</w:t>
      </w:r>
      <w:r>
        <w:rPr>
          <w:b/>
          <w:lang w:val="en-US"/>
        </w:rPr>
        <w:t xml:space="preserve"> into the Germanwings accident</w:t>
      </w:r>
      <w:r w:rsidR="000665B1">
        <w:rPr>
          <w:b/>
          <w:lang w:val="en-US"/>
        </w:rPr>
        <w:t xml:space="preserve"> </w:t>
      </w:r>
      <w:r w:rsidR="009F7E20">
        <w:rPr>
          <w:b/>
          <w:lang w:val="en-US"/>
        </w:rPr>
        <w:t>(</w:t>
      </w:r>
      <w:r w:rsidR="000665B1">
        <w:rPr>
          <w:b/>
          <w:lang w:val="en-US"/>
        </w:rPr>
        <w:t>by Arnaud Desjardin</w:t>
      </w:r>
      <w:r w:rsidR="009F7E20">
        <w:rPr>
          <w:b/>
          <w:lang w:val="en-US"/>
        </w:rPr>
        <w:t>)</w:t>
      </w:r>
    </w:p>
    <w:p w:rsidR="00FB576C" w:rsidRDefault="006148FF" w:rsidP="00FB576C">
      <w:pPr>
        <w:jc w:val="both"/>
        <w:rPr>
          <w:lang w:val="en-US"/>
        </w:rPr>
      </w:pPr>
      <w:r>
        <w:rPr>
          <w:lang w:val="en-US"/>
        </w:rPr>
        <w:t>The BEA investigation into the Germanwings accident in the French Alps in March 2015</w:t>
      </w:r>
      <w:r w:rsidR="00FB576C">
        <w:rPr>
          <w:lang w:val="en-US"/>
        </w:rPr>
        <w:t xml:space="preserve"> was completed </w:t>
      </w:r>
      <w:r w:rsidR="003C7240">
        <w:rPr>
          <w:lang w:val="en-US"/>
        </w:rPr>
        <w:t>in March 2016. The BEA’s Final R</w:t>
      </w:r>
      <w:r w:rsidR="00FB576C">
        <w:rPr>
          <w:lang w:val="en-US"/>
        </w:rPr>
        <w:t xml:space="preserve">eport </w:t>
      </w:r>
      <w:r w:rsidR="00FB576C" w:rsidRPr="00FB576C">
        <w:rPr>
          <w:lang w:val="en-US"/>
        </w:rPr>
        <w:t>concluded that the process for medical certification of pilots, in particular self</w:t>
      </w:r>
      <w:r w:rsidR="00FB576C">
        <w:rPr>
          <w:lang w:val="en-US"/>
        </w:rPr>
        <w:t>-</w:t>
      </w:r>
      <w:r w:rsidR="00FB576C" w:rsidRPr="00FB576C">
        <w:rPr>
          <w:lang w:val="en-US"/>
        </w:rPr>
        <w:t>reporting</w:t>
      </w:r>
      <w:r w:rsidR="00FB576C">
        <w:rPr>
          <w:lang w:val="en-US"/>
        </w:rPr>
        <w:t xml:space="preserve"> </w:t>
      </w:r>
      <w:r w:rsidR="00FB576C" w:rsidRPr="00FB576C">
        <w:rPr>
          <w:lang w:val="en-US"/>
        </w:rPr>
        <w:t>in case of decrease in medical fitness between two periodic medical evaluations, did not</w:t>
      </w:r>
      <w:r w:rsidR="00FB576C">
        <w:rPr>
          <w:lang w:val="en-US"/>
        </w:rPr>
        <w:t xml:space="preserve"> </w:t>
      </w:r>
      <w:r w:rsidR="00FB576C" w:rsidRPr="00FB576C">
        <w:rPr>
          <w:lang w:val="en-US"/>
        </w:rPr>
        <w:t>succeed in preventing the co-pilot, who was experiencing mental disorder,</w:t>
      </w:r>
      <w:r w:rsidR="00FB576C">
        <w:rPr>
          <w:lang w:val="en-US"/>
        </w:rPr>
        <w:t xml:space="preserve"> </w:t>
      </w:r>
      <w:r w:rsidR="00FB576C" w:rsidRPr="00FB576C">
        <w:rPr>
          <w:lang w:val="en-US"/>
        </w:rPr>
        <w:t xml:space="preserve">from exercising the privilege of his </w:t>
      </w:r>
      <w:r w:rsidR="006A6393" w:rsidRPr="00FB576C">
        <w:rPr>
          <w:lang w:val="en-US"/>
        </w:rPr>
        <w:t>license</w:t>
      </w:r>
      <w:r w:rsidR="00FB576C" w:rsidRPr="00FB576C">
        <w:rPr>
          <w:lang w:val="en-US"/>
        </w:rPr>
        <w:t>. The following factors may have contributed to the failure</w:t>
      </w:r>
      <w:r w:rsidR="00FB576C">
        <w:rPr>
          <w:lang w:val="en-US"/>
        </w:rPr>
        <w:t xml:space="preserve"> </w:t>
      </w:r>
      <w:r w:rsidR="00FB576C" w:rsidRPr="00FB576C">
        <w:rPr>
          <w:lang w:val="en-US"/>
        </w:rPr>
        <w:t>of this principle:</w:t>
      </w:r>
      <w:r w:rsidR="00FB576C">
        <w:rPr>
          <w:lang w:val="en-US"/>
        </w:rPr>
        <w:t xml:space="preserve"> </w:t>
      </w:r>
    </w:p>
    <w:p w:rsidR="00FB576C" w:rsidRPr="00FB576C" w:rsidRDefault="00FB576C" w:rsidP="00FB576C">
      <w:pPr>
        <w:pStyle w:val="Paragraphedeliste"/>
        <w:numPr>
          <w:ilvl w:val="0"/>
          <w:numId w:val="2"/>
        </w:numPr>
        <w:rPr>
          <w:lang w:val="en-US"/>
        </w:rPr>
      </w:pPr>
      <w:r w:rsidRPr="00FB576C">
        <w:rPr>
          <w:lang w:val="en-US"/>
        </w:rPr>
        <w:t xml:space="preserve">the co-pilot’s probable fear of losing his right to fly as a professional pilot if he had reported his decrease in medical fitness to an </w:t>
      </w:r>
      <w:r w:rsidR="003C7240">
        <w:rPr>
          <w:lang w:val="en-US"/>
        </w:rPr>
        <w:t>aeromedical examiner</w:t>
      </w:r>
      <w:r w:rsidRPr="00FB576C">
        <w:rPr>
          <w:lang w:val="en-US"/>
        </w:rPr>
        <w:t>;</w:t>
      </w:r>
    </w:p>
    <w:p w:rsidR="00FB576C" w:rsidRPr="00FB576C" w:rsidRDefault="00FB576C" w:rsidP="00FB576C">
      <w:pPr>
        <w:pStyle w:val="Paragraphedeliste"/>
        <w:numPr>
          <w:ilvl w:val="0"/>
          <w:numId w:val="2"/>
        </w:numPr>
        <w:rPr>
          <w:lang w:val="en-US"/>
        </w:rPr>
      </w:pPr>
      <w:r w:rsidRPr="00FB576C">
        <w:rPr>
          <w:lang w:val="en-US"/>
        </w:rPr>
        <w:t>the potential financial consequences generated by the lack of specific insurance covering the risks of loss of income in case of unfitness to fly;</w:t>
      </w:r>
    </w:p>
    <w:p w:rsidR="00FB576C" w:rsidRPr="00FB576C" w:rsidRDefault="00FB576C" w:rsidP="00FB576C">
      <w:pPr>
        <w:pStyle w:val="Paragraphedeliste"/>
        <w:numPr>
          <w:ilvl w:val="0"/>
          <w:numId w:val="2"/>
        </w:numPr>
        <w:rPr>
          <w:lang w:val="en-US"/>
        </w:rPr>
      </w:pPr>
      <w:r w:rsidRPr="00FB576C">
        <w:rPr>
          <w:lang w:val="en-US"/>
        </w:rPr>
        <w:t>the lack of clear guidelines in German regulations on when a threat to public safety outweighs the requirements of medical confidentiality.</w:t>
      </w:r>
    </w:p>
    <w:p w:rsidR="0090607C" w:rsidRDefault="00214BFB" w:rsidP="006A6393">
      <w:pPr>
        <w:pStyle w:val="Sansinterligne"/>
        <w:rPr>
          <w:lang w:val="en-US"/>
        </w:rPr>
      </w:pPr>
      <w:r>
        <w:rPr>
          <w:lang w:val="en-US"/>
        </w:rPr>
        <w:t>T</w:t>
      </w:r>
      <w:r w:rsidR="006A6393">
        <w:rPr>
          <w:lang w:val="en-US"/>
        </w:rPr>
        <w:t>he BEA issued</w:t>
      </w:r>
      <w:r w:rsidR="006148FF">
        <w:rPr>
          <w:lang w:val="en-US"/>
        </w:rPr>
        <w:t xml:space="preserve"> safety recommendat</w:t>
      </w:r>
      <w:r w:rsidR="00990DAC">
        <w:rPr>
          <w:lang w:val="en-US"/>
        </w:rPr>
        <w:t xml:space="preserve">ions addressed </w:t>
      </w:r>
      <w:r w:rsidR="006148FF">
        <w:rPr>
          <w:lang w:val="en-US"/>
        </w:rPr>
        <w:t xml:space="preserve">to the </w:t>
      </w:r>
      <w:r w:rsidR="0090607C" w:rsidRPr="0090607C">
        <w:rPr>
          <w:lang w:val="en-US"/>
        </w:rPr>
        <w:t xml:space="preserve">World Health </w:t>
      </w:r>
      <w:r w:rsidR="00E502D3" w:rsidRPr="0090607C">
        <w:rPr>
          <w:lang w:val="en-US"/>
        </w:rPr>
        <w:t>Organization</w:t>
      </w:r>
      <w:r w:rsidR="006148FF">
        <w:rPr>
          <w:lang w:val="en-US"/>
        </w:rPr>
        <w:t xml:space="preserve"> (WHO), </w:t>
      </w:r>
      <w:r w:rsidR="001243BC">
        <w:rPr>
          <w:lang w:val="en-US"/>
        </w:rPr>
        <w:t xml:space="preserve">the </w:t>
      </w:r>
      <w:r w:rsidR="001243BC" w:rsidRPr="001243BC">
        <w:rPr>
          <w:lang w:val="en-US"/>
        </w:rPr>
        <w:t>International Air Transport Association</w:t>
      </w:r>
      <w:r w:rsidR="001243BC">
        <w:rPr>
          <w:lang w:val="en-US"/>
        </w:rPr>
        <w:t xml:space="preserve"> (</w:t>
      </w:r>
      <w:r w:rsidR="006148FF">
        <w:rPr>
          <w:lang w:val="en-US"/>
        </w:rPr>
        <w:t>IATA</w:t>
      </w:r>
      <w:r w:rsidR="001243BC">
        <w:rPr>
          <w:lang w:val="en-US"/>
        </w:rPr>
        <w:t>)</w:t>
      </w:r>
      <w:r w:rsidR="00017F3D">
        <w:rPr>
          <w:lang w:val="en-US"/>
        </w:rPr>
        <w:t xml:space="preserve"> and</w:t>
      </w:r>
      <w:r w:rsidR="006148FF">
        <w:rPr>
          <w:lang w:val="en-US"/>
        </w:rPr>
        <w:t xml:space="preserve"> </w:t>
      </w:r>
      <w:r w:rsidR="0090607C" w:rsidRPr="0090607C">
        <w:rPr>
          <w:lang w:val="en-US"/>
        </w:rPr>
        <w:t xml:space="preserve">European </w:t>
      </w:r>
      <w:r w:rsidR="002440F4">
        <w:rPr>
          <w:lang w:val="en-US"/>
        </w:rPr>
        <w:t>authorities</w:t>
      </w:r>
      <w:r w:rsidR="00017F3D">
        <w:rPr>
          <w:lang w:val="en-US"/>
        </w:rPr>
        <w:t>/bodies</w:t>
      </w:r>
      <w:r w:rsidR="00990DAC">
        <w:rPr>
          <w:lang w:val="en-US"/>
        </w:rPr>
        <w:t xml:space="preserve"> in order </w:t>
      </w:r>
      <w:r w:rsidR="0090607C" w:rsidRPr="0090607C">
        <w:rPr>
          <w:lang w:val="en-US"/>
        </w:rPr>
        <w:t>to:</w:t>
      </w:r>
    </w:p>
    <w:p w:rsidR="006A6393" w:rsidRPr="0090607C" w:rsidRDefault="006A6393" w:rsidP="006A6393">
      <w:pPr>
        <w:pStyle w:val="Sansinterligne"/>
        <w:rPr>
          <w:lang w:val="en-US"/>
        </w:rPr>
      </w:pPr>
    </w:p>
    <w:p w:rsidR="00990DAC" w:rsidRPr="00990DAC" w:rsidRDefault="0090607C" w:rsidP="00990DAC">
      <w:pPr>
        <w:pStyle w:val="Paragraphedeliste"/>
        <w:numPr>
          <w:ilvl w:val="0"/>
          <w:numId w:val="1"/>
        </w:numPr>
        <w:jc w:val="both"/>
        <w:rPr>
          <w:lang w:val="en-US"/>
        </w:rPr>
      </w:pPr>
      <w:r w:rsidRPr="00990DAC">
        <w:rPr>
          <w:lang w:val="en-US"/>
        </w:rPr>
        <w:t>define rules to require health care providers to inform appropriate authorities when a patient’s</w:t>
      </w:r>
      <w:r w:rsidR="00990DAC" w:rsidRPr="00990DAC">
        <w:rPr>
          <w:lang w:val="en-US"/>
        </w:rPr>
        <w:t xml:space="preserve"> </w:t>
      </w:r>
      <w:r w:rsidRPr="00990DAC">
        <w:rPr>
          <w:lang w:val="en-US"/>
        </w:rPr>
        <w:t>health is very likely to impact public safety, while still protecting patients private data from</w:t>
      </w:r>
      <w:r w:rsidR="00990DAC" w:rsidRPr="00990DAC">
        <w:rPr>
          <w:lang w:val="en-US"/>
        </w:rPr>
        <w:t xml:space="preserve"> </w:t>
      </w:r>
      <w:r w:rsidRPr="00990DAC">
        <w:rPr>
          <w:lang w:val="en-US"/>
        </w:rPr>
        <w:t xml:space="preserve">unnecessary disclosure </w:t>
      </w:r>
    </w:p>
    <w:p w:rsidR="00990DAC" w:rsidRPr="00990DAC" w:rsidRDefault="0090607C" w:rsidP="00990DAC">
      <w:pPr>
        <w:pStyle w:val="Paragraphedeliste"/>
        <w:numPr>
          <w:ilvl w:val="0"/>
          <w:numId w:val="1"/>
        </w:numPr>
        <w:jc w:val="both"/>
        <w:rPr>
          <w:lang w:val="en-US"/>
        </w:rPr>
      </w:pPr>
      <w:r w:rsidRPr="00990DAC">
        <w:rPr>
          <w:lang w:val="en-US"/>
        </w:rPr>
        <w:t>define modalities under which EU regulations would allow pilots to be declared fit to fly while</w:t>
      </w:r>
      <w:r w:rsidR="00990DAC" w:rsidRPr="00990DAC">
        <w:rPr>
          <w:lang w:val="en-US"/>
        </w:rPr>
        <w:t xml:space="preserve"> </w:t>
      </w:r>
      <w:r w:rsidRPr="00990DAC">
        <w:rPr>
          <w:lang w:val="en-US"/>
        </w:rPr>
        <w:t xml:space="preserve">taking antidepressant </w:t>
      </w:r>
      <w:r w:rsidR="001818E9">
        <w:rPr>
          <w:lang w:val="en-US"/>
        </w:rPr>
        <w:t>medication</w:t>
      </w:r>
      <w:r w:rsidR="00990DAC" w:rsidRPr="00990DAC">
        <w:rPr>
          <w:lang w:val="en-US"/>
        </w:rPr>
        <w:t>;</w:t>
      </w:r>
    </w:p>
    <w:p w:rsidR="00990DAC" w:rsidRDefault="0090607C" w:rsidP="00990DAC">
      <w:pPr>
        <w:pStyle w:val="Paragraphedeliste"/>
        <w:numPr>
          <w:ilvl w:val="0"/>
          <w:numId w:val="1"/>
        </w:numPr>
        <w:jc w:val="both"/>
        <w:rPr>
          <w:lang w:val="en-US"/>
        </w:rPr>
      </w:pPr>
      <w:r w:rsidRPr="00990DAC">
        <w:rPr>
          <w:lang w:val="en-US"/>
        </w:rPr>
        <w:t>encourage operators to implement measures to mitigate the socio-economic risks related to pilot’s</w:t>
      </w:r>
      <w:r w:rsidR="00990DAC">
        <w:rPr>
          <w:lang w:val="en-US"/>
        </w:rPr>
        <w:t xml:space="preserve"> </w:t>
      </w:r>
      <w:r w:rsidRPr="00990DAC">
        <w:rPr>
          <w:lang w:val="en-US"/>
        </w:rPr>
        <w:t xml:space="preserve">loss of </w:t>
      </w:r>
      <w:r w:rsidR="00946221" w:rsidRPr="00990DAC">
        <w:rPr>
          <w:lang w:val="en-US"/>
        </w:rPr>
        <w:t>license</w:t>
      </w:r>
      <w:r w:rsidRPr="00990DAC">
        <w:rPr>
          <w:lang w:val="en-US"/>
        </w:rPr>
        <w:t xml:space="preserve"> for medical reasons </w:t>
      </w:r>
    </w:p>
    <w:p w:rsidR="00C30FF8" w:rsidRPr="002F48C3" w:rsidRDefault="00C30FF8" w:rsidP="00C30FF8">
      <w:pPr>
        <w:jc w:val="both"/>
        <w:rPr>
          <w:lang w:val="en-US"/>
        </w:rPr>
      </w:pPr>
      <w:r w:rsidRPr="002F48C3">
        <w:rPr>
          <w:lang w:val="en-US"/>
        </w:rPr>
        <w:t xml:space="preserve">Annex 13 to the Convention on International Civil Aviation, </w:t>
      </w:r>
      <w:r w:rsidR="00963015" w:rsidRPr="002F48C3">
        <w:rPr>
          <w:lang w:val="en-US"/>
        </w:rPr>
        <w:t>standard</w:t>
      </w:r>
      <w:r w:rsidRPr="002F48C3">
        <w:rPr>
          <w:lang w:val="en-US"/>
        </w:rPr>
        <w:t xml:space="preserve"> 6.10 and Regulation </w:t>
      </w:r>
      <w:r w:rsidR="00963015" w:rsidRPr="002F48C3">
        <w:rPr>
          <w:lang w:val="en-US"/>
        </w:rPr>
        <w:t xml:space="preserve">(EU) No </w:t>
      </w:r>
      <w:r w:rsidRPr="002F48C3">
        <w:rPr>
          <w:lang w:val="en-US"/>
        </w:rPr>
        <w:t>996/2010, article</w:t>
      </w:r>
      <w:r w:rsidR="000A3600" w:rsidRPr="002F48C3">
        <w:rPr>
          <w:lang w:val="en-US"/>
        </w:rPr>
        <w:t>s</w:t>
      </w:r>
      <w:r w:rsidRPr="002F48C3">
        <w:rPr>
          <w:lang w:val="en-US"/>
        </w:rPr>
        <w:t xml:space="preserve"> 17 and 18, contain the requirements for the communication of </w:t>
      </w:r>
      <w:r w:rsidRPr="002F48C3">
        <w:rPr>
          <w:lang w:val="en-US"/>
        </w:rPr>
        <w:lastRenderedPageBreak/>
        <w:t xml:space="preserve">safety recommendations, by a safety investigation authority, to the </w:t>
      </w:r>
      <w:r w:rsidR="002F48C3" w:rsidRPr="002F48C3">
        <w:rPr>
          <w:lang w:val="en-US"/>
        </w:rPr>
        <w:t>organization</w:t>
      </w:r>
      <w:r w:rsidRPr="002F48C3">
        <w:rPr>
          <w:lang w:val="en-US"/>
        </w:rPr>
        <w:t xml:space="preserve"> concerned. Those provisions require an addressee receiving a safety recommendation to respond within 90 days, informing the issuing authority of the actions taken or under consideration, where appropriate the time necessary for their completion, and where no acti</w:t>
      </w:r>
      <w:r w:rsidR="00423C64" w:rsidRPr="002F48C3">
        <w:rPr>
          <w:lang w:val="en-US"/>
        </w:rPr>
        <w:t>on is taken the reason therefor</w:t>
      </w:r>
      <w:r w:rsidRPr="002F48C3">
        <w:rPr>
          <w:lang w:val="en-US"/>
        </w:rPr>
        <w:t>.</w:t>
      </w:r>
      <w:r w:rsidR="00F544B8" w:rsidRPr="002F48C3">
        <w:rPr>
          <w:lang w:val="en-US"/>
        </w:rPr>
        <w:t xml:space="preserve"> Regulation </w:t>
      </w:r>
      <w:r w:rsidR="00963015" w:rsidRPr="002F48C3">
        <w:rPr>
          <w:lang w:val="en-US"/>
        </w:rPr>
        <w:t xml:space="preserve">(EU) No </w:t>
      </w:r>
      <w:r w:rsidR="00F544B8" w:rsidRPr="002F48C3">
        <w:rPr>
          <w:lang w:val="en-US"/>
        </w:rPr>
        <w:t>996/2010 also requires that within 60 days of the receipt of the reply, the safety investigation authority inform the addressee whether or not it considers the reply adequate and give justification when it disagrees with the decision to take no action.</w:t>
      </w:r>
    </w:p>
    <w:p w:rsidR="00247256" w:rsidRDefault="00EC775F" w:rsidP="00F45EB5">
      <w:pPr>
        <w:jc w:val="both"/>
        <w:rPr>
          <w:lang w:val="en-GB"/>
        </w:rPr>
      </w:pPr>
      <w:r>
        <w:rPr>
          <w:lang w:val="en-GB"/>
        </w:rPr>
        <w:t xml:space="preserve">Out of the </w:t>
      </w:r>
      <w:r w:rsidR="00247256">
        <w:rPr>
          <w:lang w:val="en-GB"/>
        </w:rPr>
        <w:t xml:space="preserve">eleven safety recommendations issued for the Germanwings accident, the BEA received a formal response for eight of them, as of June 2017. Among those </w:t>
      </w:r>
      <w:r w:rsidR="00A47D38">
        <w:rPr>
          <w:lang w:val="en-GB"/>
        </w:rPr>
        <w:t>eight</w:t>
      </w:r>
      <w:r w:rsidR="00247256">
        <w:rPr>
          <w:lang w:val="en-GB"/>
        </w:rPr>
        <w:t xml:space="preserve"> responses, five were considered by the BEA as adequate. The safety recommendations without any </w:t>
      </w:r>
      <w:r w:rsidR="00F45EB5">
        <w:rPr>
          <w:lang w:val="en-GB"/>
        </w:rPr>
        <w:t>response</w:t>
      </w:r>
      <w:r w:rsidR="00247256">
        <w:rPr>
          <w:lang w:val="en-GB"/>
        </w:rPr>
        <w:t xml:space="preserve"> or </w:t>
      </w:r>
      <w:r w:rsidR="00A47D38">
        <w:rPr>
          <w:lang w:val="en-GB"/>
        </w:rPr>
        <w:t xml:space="preserve">with </w:t>
      </w:r>
      <w:r w:rsidR="00247256">
        <w:rPr>
          <w:lang w:val="en-GB"/>
        </w:rPr>
        <w:t xml:space="preserve">a response </w:t>
      </w:r>
      <w:r w:rsidR="00A47D38">
        <w:rPr>
          <w:lang w:val="en-GB"/>
        </w:rPr>
        <w:t xml:space="preserve">not </w:t>
      </w:r>
      <w:r w:rsidR="00247256">
        <w:rPr>
          <w:lang w:val="en-GB"/>
        </w:rPr>
        <w:t xml:space="preserve">assessed </w:t>
      </w:r>
      <w:r w:rsidR="00A47D38">
        <w:rPr>
          <w:lang w:val="en-GB"/>
        </w:rPr>
        <w:t>as</w:t>
      </w:r>
      <w:r w:rsidR="00247256">
        <w:rPr>
          <w:lang w:val="en-GB"/>
        </w:rPr>
        <w:t xml:space="preserve"> adequate by the BEA include the following:</w:t>
      </w:r>
    </w:p>
    <w:tbl>
      <w:tblPr>
        <w:tblStyle w:val="Grilledutableau"/>
        <w:tblW w:w="8930" w:type="dxa"/>
        <w:jc w:val="center"/>
        <w:tblInd w:w="959" w:type="dxa"/>
        <w:tblLook w:val="04A0" w:firstRow="1" w:lastRow="0" w:firstColumn="1" w:lastColumn="0" w:noHBand="0" w:noVBand="1"/>
      </w:tblPr>
      <w:tblGrid>
        <w:gridCol w:w="8930"/>
      </w:tblGrid>
      <w:tr w:rsidR="00AB7952" w:rsidRPr="00C55DD1" w:rsidTr="0090058C">
        <w:trPr>
          <w:jc w:val="center"/>
        </w:trPr>
        <w:tc>
          <w:tcPr>
            <w:tcW w:w="8930" w:type="dxa"/>
            <w:shd w:val="clear" w:color="auto" w:fill="A6A6A6" w:themeFill="background1" w:themeFillShade="A6"/>
          </w:tcPr>
          <w:p w:rsidR="00AB7952" w:rsidRPr="00F85A6C" w:rsidRDefault="00CE366A" w:rsidP="00F544B8">
            <w:pPr>
              <w:jc w:val="both"/>
              <w:rPr>
                <w:rFonts w:ascii="Arial Narrow" w:hAnsi="Arial Narrow"/>
                <w:b/>
                <w:sz w:val="20"/>
                <w:szCs w:val="20"/>
                <w:lang w:val="en-GB"/>
              </w:rPr>
            </w:pPr>
            <w:r>
              <w:rPr>
                <w:rFonts w:ascii="Arial Narrow" w:hAnsi="Arial Narrow"/>
                <w:b/>
                <w:sz w:val="20"/>
                <w:szCs w:val="20"/>
                <w:lang w:val="en-GB"/>
              </w:rPr>
              <w:t xml:space="preserve">BEA </w:t>
            </w:r>
            <w:r w:rsidR="00AB7952" w:rsidRPr="00F85A6C">
              <w:rPr>
                <w:rFonts w:ascii="Arial Narrow" w:hAnsi="Arial Narrow"/>
                <w:b/>
                <w:sz w:val="20"/>
                <w:szCs w:val="20"/>
                <w:lang w:val="en-GB"/>
              </w:rPr>
              <w:t>Safety recommendation FRAN-2016-019 issue</w:t>
            </w:r>
            <w:r w:rsidR="00F544B8" w:rsidRPr="00F85A6C">
              <w:rPr>
                <w:rFonts w:ascii="Arial Narrow" w:hAnsi="Arial Narrow"/>
                <w:b/>
                <w:sz w:val="20"/>
                <w:szCs w:val="20"/>
                <w:lang w:val="en-GB"/>
              </w:rPr>
              <w:t>d</w:t>
            </w:r>
            <w:r w:rsidR="00AB7952" w:rsidRPr="00F85A6C">
              <w:rPr>
                <w:rFonts w:ascii="Arial Narrow" w:hAnsi="Arial Narrow"/>
                <w:b/>
                <w:sz w:val="20"/>
                <w:szCs w:val="20"/>
                <w:lang w:val="en-GB"/>
              </w:rPr>
              <w:t xml:space="preserve"> on 15 March 2016</w:t>
            </w:r>
          </w:p>
        </w:tc>
      </w:tr>
      <w:tr w:rsidR="00AB7952" w:rsidRPr="00C55DD1" w:rsidTr="0090058C">
        <w:trPr>
          <w:jc w:val="center"/>
        </w:trPr>
        <w:tc>
          <w:tcPr>
            <w:tcW w:w="8930" w:type="dxa"/>
          </w:tcPr>
          <w:p w:rsidR="00AB7952" w:rsidRPr="00AB7952" w:rsidRDefault="00AB7952" w:rsidP="00AB7952">
            <w:pPr>
              <w:ind w:left="284"/>
              <w:jc w:val="both"/>
              <w:rPr>
                <w:rFonts w:ascii="Arial Narrow" w:hAnsi="Arial Narrow"/>
                <w:sz w:val="20"/>
                <w:szCs w:val="20"/>
                <w:lang w:val="en-GB"/>
              </w:rPr>
            </w:pPr>
            <w:r w:rsidRPr="00AB7952">
              <w:rPr>
                <w:rFonts w:ascii="Arial Narrow" w:hAnsi="Arial Narrow"/>
                <w:sz w:val="20"/>
                <w:szCs w:val="20"/>
                <w:lang w:val="en-GB"/>
              </w:rPr>
              <w:t xml:space="preserve">Without waiting for action at EU level, the </w:t>
            </w:r>
            <w:r w:rsidRPr="00F85A6C">
              <w:rPr>
                <w:rFonts w:ascii="Arial Narrow" w:hAnsi="Arial Narrow"/>
                <w:b/>
                <w:sz w:val="20"/>
                <w:szCs w:val="20"/>
                <w:lang w:val="en-GB"/>
              </w:rPr>
              <w:t>BMVI</w:t>
            </w:r>
            <w:r>
              <w:rPr>
                <w:rStyle w:val="Appelnotedebasdep"/>
                <w:rFonts w:ascii="Arial Narrow" w:hAnsi="Arial Narrow"/>
                <w:sz w:val="20"/>
                <w:szCs w:val="20"/>
                <w:lang w:val="en-GB"/>
              </w:rPr>
              <w:footnoteReference w:id="2"/>
            </w:r>
            <w:r w:rsidRPr="00AB7952">
              <w:rPr>
                <w:rFonts w:ascii="Arial Narrow" w:hAnsi="Arial Narrow"/>
                <w:sz w:val="20"/>
                <w:szCs w:val="20"/>
                <w:lang w:val="en-GB"/>
              </w:rPr>
              <w:t xml:space="preserve"> and the </w:t>
            </w:r>
            <w:proofErr w:type="spellStart"/>
            <w:r w:rsidRPr="00F85A6C">
              <w:rPr>
                <w:rFonts w:ascii="Arial Narrow" w:hAnsi="Arial Narrow"/>
                <w:b/>
                <w:sz w:val="20"/>
                <w:szCs w:val="20"/>
                <w:lang w:val="en-GB"/>
              </w:rPr>
              <w:t>Bundesärztekammer</w:t>
            </w:r>
            <w:proofErr w:type="spellEnd"/>
            <w:r w:rsidRPr="00AB7952">
              <w:rPr>
                <w:rFonts w:ascii="Arial Narrow" w:hAnsi="Arial Narrow"/>
                <w:sz w:val="20"/>
                <w:szCs w:val="20"/>
                <w:lang w:val="en-GB"/>
              </w:rPr>
              <w:t xml:space="preserve"> (BÄK) edit guidelines for all German health care providers to:</w:t>
            </w:r>
          </w:p>
          <w:p w:rsidR="00AB7952" w:rsidRPr="00AB7952" w:rsidRDefault="00AB7952" w:rsidP="00AB7952">
            <w:pPr>
              <w:pStyle w:val="Paragraphedeliste"/>
              <w:numPr>
                <w:ilvl w:val="0"/>
                <w:numId w:val="3"/>
              </w:numPr>
              <w:jc w:val="both"/>
              <w:rPr>
                <w:rFonts w:ascii="Arial Narrow" w:hAnsi="Arial Narrow"/>
                <w:sz w:val="20"/>
                <w:szCs w:val="20"/>
                <w:lang w:val="en-GB"/>
              </w:rPr>
            </w:pPr>
            <w:r w:rsidRPr="00AB7952">
              <w:rPr>
                <w:rFonts w:ascii="Arial Narrow" w:hAnsi="Arial Narrow"/>
                <w:sz w:val="20"/>
                <w:szCs w:val="20"/>
                <w:lang w:val="en-GB"/>
              </w:rPr>
              <w:t>remind them of the possibility of breaching medical confidentiality and reporting to the LBA or another appropriate authority if the health of a commercial pilot presents a potential public safety risk.</w:t>
            </w:r>
          </w:p>
          <w:p w:rsidR="00AB7952" w:rsidRPr="00AB7952" w:rsidRDefault="00AB7952" w:rsidP="00AB7952">
            <w:pPr>
              <w:pStyle w:val="Paragraphedeliste"/>
              <w:numPr>
                <w:ilvl w:val="0"/>
                <w:numId w:val="3"/>
              </w:numPr>
              <w:jc w:val="both"/>
              <w:rPr>
                <w:rFonts w:ascii="Arial Narrow" w:hAnsi="Arial Narrow"/>
                <w:sz w:val="20"/>
                <w:szCs w:val="20"/>
                <w:lang w:val="en-GB"/>
              </w:rPr>
            </w:pPr>
            <w:r w:rsidRPr="00AB7952">
              <w:rPr>
                <w:rFonts w:ascii="Arial Narrow" w:hAnsi="Arial Narrow"/>
                <w:sz w:val="20"/>
                <w:szCs w:val="20"/>
                <w:lang w:val="en-GB"/>
              </w:rPr>
              <w:t>define what can be considered as “imminent danger” and “threat to public safety” when dealing with pilots’ health issues</w:t>
            </w:r>
          </w:p>
          <w:p w:rsidR="00AB7952" w:rsidRDefault="00AB7952" w:rsidP="00314237">
            <w:pPr>
              <w:pStyle w:val="Paragraphedeliste"/>
              <w:numPr>
                <w:ilvl w:val="0"/>
                <w:numId w:val="3"/>
              </w:numPr>
              <w:jc w:val="both"/>
              <w:rPr>
                <w:rFonts w:ascii="Arial Narrow" w:hAnsi="Arial Narrow"/>
                <w:sz w:val="20"/>
                <w:szCs w:val="20"/>
                <w:lang w:val="en-GB"/>
              </w:rPr>
            </w:pPr>
            <w:r w:rsidRPr="00AB7952">
              <w:rPr>
                <w:rFonts w:ascii="Arial Narrow" w:hAnsi="Arial Narrow"/>
                <w:sz w:val="20"/>
                <w:szCs w:val="20"/>
                <w:lang w:val="en-GB"/>
              </w:rPr>
              <w:t>limit the legal consequence for health care providers breaching medical confidentiality in good faith to lessen or prevent a threat to public safety</w:t>
            </w:r>
          </w:p>
          <w:p w:rsidR="00D76373" w:rsidRPr="00AB7952" w:rsidRDefault="00D76373" w:rsidP="00D76373">
            <w:pPr>
              <w:pStyle w:val="Paragraphedeliste"/>
              <w:ind w:left="1004"/>
              <w:jc w:val="both"/>
              <w:rPr>
                <w:rFonts w:ascii="Arial Narrow" w:hAnsi="Arial Narrow"/>
                <w:sz w:val="20"/>
                <w:szCs w:val="20"/>
                <w:lang w:val="en-GB"/>
              </w:rPr>
            </w:pPr>
          </w:p>
        </w:tc>
      </w:tr>
      <w:tr w:rsidR="00AB7952" w:rsidRPr="00C55DD1" w:rsidTr="0090058C">
        <w:trPr>
          <w:jc w:val="center"/>
        </w:trPr>
        <w:tc>
          <w:tcPr>
            <w:tcW w:w="8930" w:type="dxa"/>
            <w:shd w:val="clear" w:color="auto" w:fill="A6A6A6" w:themeFill="background1" w:themeFillShade="A6"/>
          </w:tcPr>
          <w:p w:rsidR="00AB7952" w:rsidRPr="00F85A6C" w:rsidRDefault="00AB7952" w:rsidP="00C30FF8">
            <w:pPr>
              <w:jc w:val="both"/>
              <w:rPr>
                <w:rFonts w:ascii="Arial Narrow" w:hAnsi="Arial Narrow"/>
                <w:b/>
                <w:i/>
                <w:sz w:val="20"/>
                <w:szCs w:val="20"/>
                <w:lang w:val="en-GB"/>
              </w:rPr>
            </w:pPr>
            <w:r w:rsidRPr="00F85A6C">
              <w:rPr>
                <w:rFonts w:ascii="Arial Narrow" w:hAnsi="Arial Narrow"/>
                <w:b/>
                <w:i/>
                <w:sz w:val="20"/>
                <w:szCs w:val="20"/>
                <w:lang w:val="en-GB"/>
              </w:rPr>
              <w:t>Summary of the response sent by the BMVI</w:t>
            </w:r>
            <w:r w:rsidR="00F544B8" w:rsidRPr="00F85A6C">
              <w:rPr>
                <w:rFonts w:ascii="Arial Narrow" w:hAnsi="Arial Narrow"/>
                <w:b/>
                <w:i/>
                <w:sz w:val="20"/>
                <w:szCs w:val="20"/>
                <w:lang w:val="en-GB"/>
              </w:rPr>
              <w:t xml:space="preserve"> on 13 June 2016</w:t>
            </w:r>
          </w:p>
        </w:tc>
      </w:tr>
      <w:tr w:rsidR="00AB7952" w:rsidRPr="00AB7952" w:rsidTr="0090058C">
        <w:trPr>
          <w:jc w:val="center"/>
        </w:trPr>
        <w:tc>
          <w:tcPr>
            <w:tcW w:w="8930" w:type="dxa"/>
          </w:tcPr>
          <w:p w:rsidR="004368D4" w:rsidRDefault="00813D3A" w:rsidP="0085060A">
            <w:pPr>
              <w:ind w:left="284"/>
              <w:jc w:val="both"/>
              <w:rPr>
                <w:rFonts w:ascii="Arial Narrow" w:hAnsi="Arial Narrow"/>
                <w:sz w:val="20"/>
                <w:szCs w:val="20"/>
                <w:lang w:val="en-GB"/>
              </w:rPr>
            </w:pPr>
            <w:r>
              <w:rPr>
                <w:rFonts w:ascii="Arial Narrow" w:hAnsi="Arial Narrow"/>
                <w:sz w:val="20"/>
                <w:szCs w:val="20"/>
                <w:lang w:val="en-GB"/>
              </w:rPr>
              <w:t>“</w:t>
            </w:r>
            <w:r w:rsidR="004368D4">
              <w:rPr>
                <w:rFonts w:ascii="Arial Narrow" w:hAnsi="Arial Narrow"/>
                <w:sz w:val="20"/>
                <w:szCs w:val="20"/>
                <w:lang w:val="en-GB"/>
              </w:rPr>
              <w:t xml:space="preserve">Immediately after the publication of the report, the BMVI had contacted the Federal Ministry of Health (BMG) as the competent authority for medical issues. Thereupon, the BMG invited us to participate in talks on this issue which was held in Berlin on 27 April 2016 and which were </w:t>
            </w:r>
            <w:r w:rsidR="006B3FBB">
              <w:rPr>
                <w:rFonts w:ascii="Arial Narrow" w:hAnsi="Arial Narrow"/>
                <w:sz w:val="20"/>
                <w:szCs w:val="20"/>
                <w:lang w:val="en-GB"/>
              </w:rPr>
              <w:t>also</w:t>
            </w:r>
            <w:r w:rsidR="004368D4">
              <w:rPr>
                <w:rFonts w:ascii="Arial Narrow" w:hAnsi="Arial Narrow"/>
                <w:sz w:val="20"/>
                <w:szCs w:val="20"/>
                <w:lang w:val="en-GB"/>
              </w:rPr>
              <w:t xml:space="preserve"> attended by the representatives from the German Medical </w:t>
            </w:r>
            <w:r w:rsidR="006B3FBB">
              <w:rPr>
                <w:rFonts w:ascii="Arial Narrow" w:hAnsi="Arial Narrow"/>
                <w:sz w:val="20"/>
                <w:szCs w:val="20"/>
                <w:lang w:val="en-GB"/>
              </w:rPr>
              <w:t>Association (</w:t>
            </w:r>
            <w:r>
              <w:rPr>
                <w:rFonts w:ascii="Arial Narrow" w:hAnsi="Arial Narrow"/>
                <w:sz w:val="20"/>
                <w:szCs w:val="20"/>
                <w:lang w:val="en-GB"/>
              </w:rPr>
              <w:t>…)</w:t>
            </w:r>
            <w:r w:rsidR="004368D4">
              <w:rPr>
                <w:rFonts w:ascii="Arial Narrow" w:hAnsi="Arial Narrow"/>
                <w:sz w:val="20"/>
                <w:szCs w:val="20"/>
                <w:lang w:val="en-GB"/>
              </w:rPr>
              <w:t>.</w:t>
            </w:r>
            <w:r>
              <w:rPr>
                <w:rFonts w:ascii="Arial Narrow" w:hAnsi="Arial Narrow"/>
                <w:sz w:val="20"/>
                <w:szCs w:val="20"/>
                <w:lang w:val="en-GB"/>
              </w:rPr>
              <w:t xml:space="preserve"> It is important to note, that it is in principle possible under German criminal law to justify a breach of confidentiality to protect higher-ranking legal assets</w:t>
            </w:r>
            <w:r w:rsidR="004368D4">
              <w:rPr>
                <w:rFonts w:ascii="Arial Narrow" w:hAnsi="Arial Narrow"/>
                <w:sz w:val="20"/>
                <w:szCs w:val="20"/>
                <w:lang w:val="en-GB"/>
              </w:rPr>
              <w:t xml:space="preserve"> (…). The German medical Association promised to discuss with the competent bodies the revision of the </w:t>
            </w:r>
            <w:r w:rsidR="006B3FBB">
              <w:rPr>
                <w:rFonts w:ascii="Arial Narrow" w:hAnsi="Arial Narrow"/>
                <w:sz w:val="20"/>
                <w:szCs w:val="20"/>
                <w:lang w:val="en-GB"/>
              </w:rPr>
              <w:t>recommendations</w:t>
            </w:r>
            <w:r w:rsidR="004368D4">
              <w:rPr>
                <w:rFonts w:ascii="Arial Narrow" w:hAnsi="Arial Narrow"/>
                <w:sz w:val="20"/>
                <w:szCs w:val="20"/>
                <w:lang w:val="en-GB"/>
              </w:rPr>
              <w:t xml:space="preserve"> concerning medical secrecy, data protection and data processing in medical practice which it had published together with the National Association of Statutory Health Insurance Physicians in order to provide clarity to doctors on the legal situation. (…)</w:t>
            </w:r>
          </w:p>
          <w:p w:rsidR="004368D4" w:rsidRDefault="004368D4" w:rsidP="0085060A">
            <w:pPr>
              <w:ind w:left="284"/>
              <w:jc w:val="both"/>
              <w:rPr>
                <w:rFonts w:ascii="Arial Narrow" w:hAnsi="Arial Narrow"/>
                <w:sz w:val="20"/>
                <w:szCs w:val="20"/>
                <w:lang w:val="en-GB"/>
              </w:rPr>
            </w:pPr>
            <w:r>
              <w:rPr>
                <w:rFonts w:ascii="Arial Narrow" w:hAnsi="Arial Narrow"/>
                <w:sz w:val="20"/>
                <w:szCs w:val="20"/>
                <w:lang w:val="en-GB"/>
              </w:rPr>
              <w:t xml:space="preserve">The BMVI will, in coordination </w:t>
            </w:r>
            <w:r w:rsidR="00963015">
              <w:rPr>
                <w:rFonts w:ascii="Arial Narrow" w:hAnsi="Arial Narrow"/>
                <w:sz w:val="20"/>
                <w:szCs w:val="20"/>
                <w:lang w:val="en-GB"/>
              </w:rPr>
              <w:t>with</w:t>
            </w:r>
            <w:r>
              <w:rPr>
                <w:rFonts w:ascii="Arial Narrow" w:hAnsi="Arial Narrow"/>
                <w:sz w:val="20"/>
                <w:szCs w:val="20"/>
                <w:lang w:val="en-GB"/>
              </w:rPr>
              <w:t xml:space="preserve"> the BMG, monitor the work of the German Medical Association and, moreover, participate in the relevant work at European level.</w:t>
            </w:r>
          </w:p>
          <w:p w:rsidR="004368D4" w:rsidRDefault="004368D4" w:rsidP="0085060A">
            <w:pPr>
              <w:ind w:left="284"/>
              <w:jc w:val="both"/>
              <w:rPr>
                <w:rFonts w:ascii="Arial Narrow" w:hAnsi="Arial Narrow"/>
                <w:sz w:val="20"/>
                <w:szCs w:val="20"/>
                <w:lang w:val="en-GB"/>
              </w:rPr>
            </w:pPr>
            <w:r>
              <w:rPr>
                <w:rFonts w:ascii="Arial Narrow" w:hAnsi="Arial Narrow"/>
                <w:sz w:val="20"/>
                <w:szCs w:val="20"/>
                <w:lang w:val="en-GB"/>
              </w:rPr>
              <w:t>The BMVI and the German Medical Association</w:t>
            </w:r>
            <w:r w:rsidR="0085060A">
              <w:rPr>
                <w:rFonts w:ascii="Arial Narrow" w:hAnsi="Arial Narrow"/>
                <w:sz w:val="20"/>
                <w:szCs w:val="20"/>
                <w:lang w:val="en-GB"/>
              </w:rPr>
              <w:t xml:space="preserve"> will inform you about the progress achieved in the course of the revision of the safety recommendations. (…)”</w:t>
            </w:r>
          </w:p>
          <w:p w:rsidR="00D76373" w:rsidRPr="00AB7952" w:rsidRDefault="00D76373" w:rsidP="0085060A">
            <w:pPr>
              <w:ind w:left="284"/>
              <w:jc w:val="both"/>
              <w:rPr>
                <w:rFonts w:ascii="Arial Narrow" w:hAnsi="Arial Narrow"/>
                <w:sz w:val="20"/>
                <w:szCs w:val="20"/>
                <w:lang w:val="en-GB"/>
              </w:rPr>
            </w:pPr>
          </w:p>
        </w:tc>
      </w:tr>
      <w:tr w:rsidR="00132F8E" w:rsidRPr="00C55DD1" w:rsidTr="0090058C">
        <w:trPr>
          <w:jc w:val="center"/>
        </w:trPr>
        <w:tc>
          <w:tcPr>
            <w:tcW w:w="8930" w:type="dxa"/>
            <w:shd w:val="clear" w:color="auto" w:fill="A6A6A6" w:themeFill="background1" w:themeFillShade="A6"/>
          </w:tcPr>
          <w:p w:rsidR="00132F8E" w:rsidRPr="00F85A6C" w:rsidRDefault="00132F8E" w:rsidP="00132F8E">
            <w:pPr>
              <w:jc w:val="both"/>
              <w:rPr>
                <w:rFonts w:ascii="Arial Narrow" w:hAnsi="Arial Narrow"/>
                <w:b/>
                <w:i/>
                <w:sz w:val="20"/>
                <w:szCs w:val="20"/>
                <w:lang w:val="en-GB"/>
              </w:rPr>
            </w:pPr>
            <w:r w:rsidRPr="00F85A6C">
              <w:rPr>
                <w:rFonts w:ascii="Arial Narrow" w:hAnsi="Arial Narrow"/>
                <w:b/>
                <w:i/>
                <w:sz w:val="20"/>
                <w:szCs w:val="20"/>
                <w:lang w:val="en-GB"/>
              </w:rPr>
              <w:t>BEA’s assessment of the response sent on 13 July 2016</w:t>
            </w:r>
          </w:p>
        </w:tc>
      </w:tr>
      <w:tr w:rsidR="00132F8E" w:rsidRPr="00C55DD1" w:rsidTr="0090058C">
        <w:trPr>
          <w:jc w:val="center"/>
        </w:trPr>
        <w:tc>
          <w:tcPr>
            <w:tcW w:w="8930" w:type="dxa"/>
          </w:tcPr>
          <w:p w:rsidR="00132F8E" w:rsidRDefault="00132F8E" w:rsidP="006B3FBB">
            <w:pPr>
              <w:ind w:left="284"/>
              <w:jc w:val="both"/>
              <w:rPr>
                <w:rFonts w:ascii="Arial Narrow" w:hAnsi="Arial Narrow"/>
                <w:sz w:val="20"/>
                <w:szCs w:val="20"/>
                <w:lang w:val="en-GB"/>
              </w:rPr>
            </w:pPr>
            <w:r w:rsidRPr="00132F8E">
              <w:rPr>
                <w:rFonts w:ascii="Arial Narrow" w:hAnsi="Arial Narrow"/>
                <w:sz w:val="20"/>
                <w:szCs w:val="20"/>
                <w:lang w:val="en-GB"/>
              </w:rPr>
              <w:t>The BEA notes that the BMVI has engaged discussion with the</w:t>
            </w:r>
            <w:r>
              <w:rPr>
                <w:rFonts w:ascii="Arial Narrow" w:hAnsi="Arial Narrow"/>
                <w:sz w:val="20"/>
                <w:szCs w:val="20"/>
                <w:lang w:val="en-GB"/>
              </w:rPr>
              <w:t xml:space="preserve"> </w:t>
            </w:r>
            <w:r w:rsidRPr="00132F8E">
              <w:rPr>
                <w:rFonts w:ascii="Arial Narrow" w:hAnsi="Arial Narrow"/>
                <w:sz w:val="20"/>
                <w:szCs w:val="20"/>
                <w:lang w:val="en-GB"/>
              </w:rPr>
              <w:t>BMG and the BAK, and also indirectly with the National</w:t>
            </w:r>
            <w:r>
              <w:rPr>
                <w:rFonts w:ascii="Arial Narrow" w:hAnsi="Arial Narrow"/>
                <w:sz w:val="20"/>
                <w:szCs w:val="20"/>
                <w:lang w:val="en-GB"/>
              </w:rPr>
              <w:t xml:space="preserve"> </w:t>
            </w:r>
            <w:r w:rsidRPr="00132F8E">
              <w:rPr>
                <w:rFonts w:ascii="Arial Narrow" w:hAnsi="Arial Narrow"/>
                <w:sz w:val="20"/>
                <w:szCs w:val="20"/>
                <w:lang w:val="en-GB"/>
              </w:rPr>
              <w:t>Association of Statutory Health Insurance Physicians</w:t>
            </w:r>
            <w:r>
              <w:rPr>
                <w:rFonts w:ascii="Arial Narrow" w:hAnsi="Arial Narrow"/>
                <w:sz w:val="20"/>
                <w:szCs w:val="20"/>
                <w:lang w:val="en-GB"/>
              </w:rPr>
              <w:t>. (…).</w:t>
            </w:r>
            <w:r w:rsidRPr="00132F8E">
              <w:rPr>
                <w:rFonts w:ascii="Arial Narrow" w:hAnsi="Arial Narrow"/>
                <w:sz w:val="20"/>
                <w:szCs w:val="20"/>
                <w:lang w:val="en-GB"/>
              </w:rPr>
              <w:t xml:space="preserve">However, the BEA understands that no </w:t>
            </w:r>
            <w:r w:rsidR="001B6906" w:rsidRPr="00132F8E">
              <w:rPr>
                <w:rFonts w:ascii="Arial Narrow" w:hAnsi="Arial Narrow"/>
                <w:sz w:val="20"/>
                <w:szCs w:val="20"/>
                <w:lang w:val="en-GB"/>
              </w:rPr>
              <w:t>decision</w:t>
            </w:r>
            <w:r w:rsidRPr="00132F8E">
              <w:rPr>
                <w:rFonts w:ascii="Arial Narrow" w:hAnsi="Arial Narrow"/>
                <w:sz w:val="20"/>
                <w:szCs w:val="20"/>
                <w:lang w:val="en-GB"/>
              </w:rPr>
              <w:t xml:space="preserve"> has been taken</w:t>
            </w:r>
            <w:r>
              <w:rPr>
                <w:rFonts w:ascii="Arial Narrow" w:hAnsi="Arial Narrow"/>
                <w:sz w:val="20"/>
                <w:szCs w:val="20"/>
                <w:lang w:val="en-GB"/>
              </w:rPr>
              <w:t xml:space="preserve"> </w:t>
            </w:r>
            <w:r w:rsidR="00B5697E">
              <w:rPr>
                <w:rFonts w:ascii="Arial Narrow" w:hAnsi="Arial Narrow"/>
                <w:sz w:val="20"/>
                <w:szCs w:val="20"/>
                <w:lang w:val="en-GB"/>
              </w:rPr>
              <w:t>yet to edit guidelines for al</w:t>
            </w:r>
            <w:r w:rsidRPr="00132F8E">
              <w:rPr>
                <w:rFonts w:ascii="Arial Narrow" w:hAnsi="Arial Narrow"/>
                <w:sz w:val="20"/>
                <w:szCs w:val="20"/>
                <w:lang w:val="en-GB"/>
              </w:rPr>
              <w:t>l German health care</w:t>
            </w:r>
            <w:r>
              <w:rPr>
                <w:rFonts w:ascii="Arial Narrow" w:hAnsi="Arial Narrow"/>
                <w:sz w:val="20"/>
                <w:szCs w:val="20"/>
                <w:lang w:val="en-GB"/>
              </w:rPr>
              <w:t xml:space="preserve"> providers.</w:t>
            </w:r>
          </w:p>
          <w:p w:rsidR="00132F8E" w:rsidRDefault="00132F8E" w:rsidP="004044D0">
            <w:pPr>
              <w:ind w:left="284"/>
              <w:jc w:val="both"/>
              <w:rPr>
                <w:rFonts w:ascii="Arial Narrow" w:hAnsi="Arial Narrow"/>
                <w:sz w:val="20"/>
                <w:szCs w:val="20"/>
                <w:lang w:val="en-GB"/>
              </w:rPr>
            </w:pPr>
            <w:r w:rsidRPr="00132F8E">
              <w:rPr>
                <w:rFonts w:ascii="Arial Narrow" w:hAnsi="Arial Narrow"/>
                <w:sz w:val="20"/>
                <w:szCs w:val="20"/>
                <w:lang w:val="en-GB"/>
              </w:rPr>
              <w:t xml:space="preserve">Consequently, the BEA </w:t>
            </w:r>
            <w:r w:rsidRPr="00132F8E">
              <w:rPr>
                <w:rFonts w:ascii="Arial Narrow" w:hAnsi="Arial Narrow"/>
                <w:b/>
                <w:sz w:val="20"/>
                <w:szCs w:val="20"/>
                <w:lang w:val="en-GB"/>
              </w:rPr>
              <w:t>delays its assessment</w:t>
            </w:r>
            <w:r w:rsidRPr="00132F8E">
              <w:rPr>
                <w:rFonts w:ascii="Arial Narrow" w:hAnsi="Arial Narrow"/>
                <w:sz w:val="20"/>
                <w:szCs w:val="20"/>
                <w:lang w:val="en-GB"/>
              </w:rPr>
              <w:t xml:space="preserve"> until further </w:t>
            </w:r>
            <w:r>
              <w:rPr>
                <w:rFonts w:ascii="Arial Narrow" w:hAnsi="Arial Narrow"/>
                <w:sz w:val="20"/>
                <w:szCs w:val="20"/>
                <w:lang w:val="en-GB"/>
              </w:rPr>
              <w:t xml:space="preserve">details </w:t>
            </w:r>
            <w:r w:rsidRPr="00132F8E">
              <w:rPr>
                <w:rFonts w:ascii="Arial Narrow" w:hAnsi="Arial Narrow"/>
                <w:sz w:val="20"/>
                <w:szCs w:val="20"/>
                <w:lang w:val="en-GB"/>
              </w:rPr>
              <w:t>can be provided about the progress of the action taken or under</w:t>
            </w:r>
            <w:r>
              <w:rPr>
                <w:rFonts w:ascii="Arial Narrow" w:hAnsi="Arial Narrow"/>
                <w:sz w:val="20"/>
                <w:szCs w:val="20"/>
                <w:lang w:val="en-GB"/>
              </w:rPr>
              <w:t xml:space="preserve"> </w:t>
            </w:r>
            <w:r w:rsidRPr="00132F8E">
              <w:rPr>
                <w:rFonts w:ascii="Arial Narrow" w:hAnsi="Arial Narrow"/>
                <w:sz w:val="20"/>
                <w:szCs w:val="20"/>
                <w:lang w:val="en-GB"/>
              </w:rPr>
              <w:t>consideration or, if no action</w:t>
            </w:r>
            <w:r w:rsidR="008C489E">
              <w:rPr>
                <w:rFonts w:ascii="Arial Narrow" w:hAnsi="Arial Narrow"/>
                <w:sz w:val="20"/>
                <w:szCs w:val="20"/>
                <w:lang w:val="en-GB"/>
              </w:rPr>
              <w:t xml:space="preserve"> is taken, the reasons therefor</w:t>
            </w:r>
            <w:r>
              <w:rPr>
                <w:rFonts w:ascii="Arial Narrow" w:hAnsi="Arial Narrow"/>
                <w:sz w:val="20"/>
                <w:szCs w:val="20"/>
                <w:lang w:val="en-GB"/>
              </w:rPr>
              <w:t>.</w:t>
            </w:r>
          </w:p>
          <w:p w:rsidR="00D76373" w:rsidRDefault="00D76373" w:rsidP="004044D0">
            <w:pPr>
              <w:ind w:left="284"/>
              <w:jc w:val="both"/>
              <w:rPr>
                <w:rFonts w:ascii="Arial Narrow" w:hAnsi="Arial Narrow"/>
                <w:sz w:val="20"/>
                <w:szCs w:val="20"/>
                <w:lang w:val="en-GB"/>
              </w:rPr>
            </w:pPr>
          </w:p>
        </w:tc>
      </w:tr>
    </w:tbl>
    <w:p w:rsidR="00D76373" w:rsidRPr="00C30FF8" w:rsidRDefault="00C30FF8" w:rsidP="00C30FF8">
      <w:pPr>
        <w:jc w:val="both"/>
        <w:rPr>
          <w:lang w:val="en-GB"/>
        </w:rPr>
      </w:pPr>
      <w:r>
        <w:rPr>
          <w:lang w:val="en-GB"/>
        </w:rPr>
        <w:t xml:space="preserve"> </w:t>
      </w:r>
    </w:p>
    <w:tbl>
      <w:tblPr>
        <w:tblStyle w:val="Grilledutableau"/>
        <w:tblW w:w="8930" w:type="dxa"/>
        <w:jc w:val="center"/>
        <w:tblInd w:w="959" w:type="dxa"/>
        <w:tblLook w:val="04A0" w:firstRow="1" w:lastRow="0" w:firstColumn="1" w:lastColumn="0" w:noHBand="0" w:noVBand="1"/>
      </w:tblPr>
      <w:tblGrid>
        <w:gridCol w:w="8930"/>
      </w:tblGrid>
      <w:tr w:rsidR="00F85A6C" w:rsidRPr="00C55DD1" w:rsidTr="0090058C">
        <w:trPr>
          <w:jc w:val="center"/>
        </w:trPr>
        <w:tc>
          <w:tcPr>
            <w:tcW w:w="8930" w:type="dxa"/>
            <w:shd w:val="clear" w:color="auto" w:fill="A6A6A6" w:themeFill="background1" w:themeFillShade="A6"/>
          </w:tcPr>
          <w:p w:rsidR="00F85A6C" w:rsidRPr="00F85A6C" w:rsidRDefault="00CE366A" w:rsidP="00F85A6C">
            <w:pPr>
              <w:jc w:val="both"/>
              <w:rPr>
                <w:rFonts w:ascii="Arial Narrow" w:hAnsi="Arial Narrow"/>
                <w:b/>
                <w:sz w:val="20"/>
                <w:szCs w:val="20"/>
                <w:lang w:val="en-GB"/>
              </w:rPr>
            </w:pPr>
            <w:r>
              <w:rPr>
                <w:rFonts w:ascii="Arial Narrow" w:hAnsi="Arial Narrow"/>
                <w:b/>
                <w:sz w:val="20"/>
                <w:szCs w:val="20"/>
                <w:lang w:val="en-GB"/>
              </w:rPr>
              <w:t xml:space="preserve">BEA </w:t>
            </w:r>
            <w:r w:rsidR="00F85A6C" w:rsidRPr="00F85A6C">
              <w:rPr>
                <w:rFonts w:ascii="Arial Narrow" w:hAnsi="Arial Narrow"/>
                <w:b/>
                <w:sz w:val="20"/>
                <w:szCs w:val="20"/>
                <w:lang w:val="en-GB"/>
              </w:rPr>
              <w:t>Safety recommendation FRAN-2016-01</w:t>
            </w:r>
            <w:r w:rsidR="00F85A6C">
              <w:rPr>
                <w:rFonts w:ascii="Arial Narrow" w:hAnsi="Arial Narrow"/>
                <w:b/>
                <w:sz w:val="20"/>
                <w:szCs w:val="20"/>
                <w:lang w:val="en-GB"/>
              </w:rPr>
              <w:t>8</w:t>
            </w:r>
            <w:r w:rsidR="00F85A6C" w:rsidRPr="00F85A6C">
              <w:rPr>
                <w:rFonts w:ascii="Arial Narrow" w:hAnsi="Arial Narrow"/>
                <w:b/>
                <w:sz w:val="20"/>
                <w:szCs w:val="20"/>
                <w:lang w:val="en-GB"/>
              </w:rPr>
              <w:t xml:space="preserve"> issued on 15 March 2016</w:t>
            </w:r>
          </w:p>
        </w:tc>
      </w:tr>
      <w:tr w:rsidR="00F85A6C" w:rsidRPr="00C55DD1" w:rsidTr="0090058C">
        <w:trPr>
          <w:jc w:val="center"/>
        </w:trPr>
        <w:tc>
          <w:tcPr>
            <w:tcW w:w="8930" w:type="dxa"/>
          </w:tcPr>
          <w:p w:rsidR="00F85A6C" w:rsidRPr="00F85A6C" w:rsidRDefault="00F85A6C" w:rsidP="00F85A6C">
            <w:pPr>
              <w:ind w:left="284"/>
              <w:jc w:val="both"/>
              <w:rPr>
                <w:rFonts w:ascii="Arial Narrow" w:hAnsi="Arial Narrow"/>
                <w:sz w:val="20"/>
                <w:szCs w:val="20"/>
                <w:lang w:val="en-GB"/>
              </w:rPr>
            </w:pPr>
            <w:r w:rsidRPr="00F85A6C">
              <w:rPr>
                <w:rFonts w:ascii="Arial Narrow" w:hAnsi="Arial Narrow"/>
                <w:sz w:val="20"/>
                <w:szCs w:val="20"/>
                <w:lang w:val="en-GB"/>
              </w:rPr>
              <w:t xml:space="preserve">The </w:t>
            </w:r>
            <w:r w:rsidRPr="00F85A6C">
              <w:rPr>
                <w:rFonts w:ascii="Arial Narrow" w:hAnsi="Arial Narrow"/>
                <w:b/>
                <w:sz w:val="20"/>
                <w:szCs w:val="20"/>
                <w:lang w:val="en-GB"/>
              </w:rPr>
              <w:t>European Commission</w:t>
            </w:r>
            <w:r w:rsidRPr="00F85A6C">
              <w:rPr>
                <w:rFonts w:ascii="Arial Narrow" w:hAnsi="Arial Narrow"/>
                <w:sz w:val="20"/>
                <w:szCs w:val="20"/>
                <w:lang w:val="en-GB"/>
              </w:rPr>
              <w:t xml:space="preserve"> in coordination with EU Member States define</w:t>
            </w:r>
            <w:r>
              <w:rPr>
                <w:rFonts w:ascii="Arial Narrow" w:hAnsi="Arial Narrow"/>
                <w:sz w:val="20"/>
                <w:szCs w:val="20"/>
                <w:lang w:val="en-GB"/>
              </w:rPr>
              <w:t xml:space="preserve"> </w:t>
            </w:r>
            <w:r w:rsidRPr="00F85A6C">
              <w:rPr>
                <w:rFonts w:ascii="Arial Narrow" w:hAnsi="Arial Narrow"/>
                <w:sz w:val="20"/>
                <w:szCs w:val="20"/>
                <w:lang w:val="en-GB"/>
              </w:rPr>
              <w:t>clear rules to require health care providers to inform the appropriate</w:t>
            </w:r>
            <w:r>
              <w:rPr>
                <w:rFonts w:ascii="Arial Narrow" w:hAnsi="Arial Narrow"/>
                <w:sz w:val="20"/>
                <w:szCs w:val="20"/>
                <w:lang w:val="en-GB"/>
              </w:rPr>
              <w:t xml:space="preserve"> </w:t>
            </w:r>
            <w:r w:rsidRPr="00F85A6C">
              <w:rPr>
                <w:rFonts w:ascii="Arial Narrow" w:hAnsi="Arial Narrow"/>
                <w:sz w:val="20"/>
                <w:szCs w:val="20"/>
                <w:lang w:val="en-GB"/>
              </w:rPr>
              <w:t>authorities when a specific patient’s health is very likely to impact public</w:t>
            </w:r>
          </w:p>
          <w:p w:rsidR="00F85A6C" w:rsidRDefault="00F85A6C" w:rsidP="00F85A6C">
            <w:pPr>
              <w:ind w:left="284"/>
              <w:jc w:val="both"/>
              <w:rPr>
                <w:rFonts w:ascii="Arial Narrow" w:hAnsi="Arial Narrow"/>
                <w:sz w:val="20"/>
                <w:szCs w:val="20"/>
                <w:lang w:val="en-GB"/>
              </w:rPr>
            </w:pPr>
            <w:r w:rsidRPr="00F85A6C">
              <w:rPr>
                <w:rFonts w:ascii="Arial Narrow" w:hAnsi="Arial Narrow"/>
                <w:sz w:val="20"/>
                <w:szCs w:val="20"/>
                <w:lang w:val="en-GB"/>
              </w:rPr>
              <w:t>safety, including when the patient refuses to consent, without legal</w:t>
            </w:r>
            <w:r>
              <w:rPr>
                <w:rFonts w:ascii="Arial Narrow" w:hAnsi="Arial Narrow"/>
                <w:sz w:val="20"/>
                <w:szCs w:val="20"/>
                <w:lang w:val="en-GB"/>
              </w:rPr>
              <w:t xml:space="preserve"> </w:t>
            </w:r>
            <w:r w:rsidRPr="00F85A6C">
              <w:rPr>
                <w:rFonts w:ascii="Arial Narrow" w:hAnsi="Arial Narrow"/>
                <w:sz w:val="20"/>
                <w:szCs w:val="20"/>
                <w:lang w:val="en-GB"/>
              </w:rPr>
              <w:t>risk to the health care provider, while still protecting patients’ private</w:t>
            </w:r>
            <w:r>
              <w:rPr>
                <w:rFonts w:ascii="Arial Narrow" w:hAnsi="Arial Narrow"/>
                <w:sz w:val="20"/>
                <w:szCs w:val="20"/>
                <w:lang w:val="en-GB"/>
              </w:rPr>
              <w:t xml:space="preserve"> </w:t>
            </w:r>
            <w:r w:rsidRPr="00F85A6C">
              <w:rPr>
                <w:rFonts w:ascii="Arial Narrow" w:hAnsi="Arial Narrow"/>
                <w:sz w:val="20"/>
                <w:szCs w:val="20"/>
                <w:lang w:val="en-GB"/>
              </w:rPr>
              <w:t>data from unnecessary disclosure. These rules should take into account</w:t>
            </w:r>
            <w:r>
              <w:rPr>
                <w:rFonts w:ascii="Arial Narrow" w:hAnsi="Arial Narrow"/>
                <w:sz w:val="20"/>
                <w:szCs w:val="20"/>
                <w:lang w:val="en-GB"/>
              </w:rPr>
              <w:t xml:space="preserve"> </w:t>
            </w:r>
            <w:r w:rsidRPr="00F85A6C">
              <w:rPr>
                <w:rFonts w:ascii="Arial Narrow" w:hAnsi="Arial Narrow"/>
                <w:sz w:val="20"/>
                <w:szCs w:val="20"/>
                <w:lang w:val="en-GB"/>
              </w:rPr>
              <w:t xml:space="preserve">the specificities </w:t>
            </w:r>
            <w:r w:rsidRPr="00F85A6C">
              <w:rPr>
                <w:rFonts w:ascii="Arial Narrow" w:hAnsi="Arial Narrow"/>
                <w:sz w:val="20"/>
                <w:szCs w:val="20"/>
                <w:lang w:val="en-GB"/>
              </w:rPr>
              <w:lastRenderedPageBreak/>
              <w:t>of pilots, for whom the risk of losing their medical</w:t>
            </w:r>
            <w:r>
              <w:rPr>
                <w:rFonts w:ascii="Arial Narrow" w:hAnsi="Arial Narrow"/>
                <w:sz w:val="20"/>
                <w:szCs w:val="20"/>
                <w:lang w:val="en-GB"/>
              </w:rPr>
              <w:t xml:space="preserve"> </w:t>
            </w:r>
            <w:r w:rsidRPr="00F85A6C">
              <w:rPr>
                <w:rFonts w:ascii="Arial Narrow" w:hAnsi="Arial Narrow"/>
                <w:sz w:val="20"/>
                <w:szCs w:val="20"/>
                <w:lang w:val="en-GB"/>
              </w:rPr>
              <w:t>certificate, being not only a financial matter but also a matter related</w:t>
            </w:r>
            <w:r>
              <w:rPr>
                <w:rFonts w:ascii="Arial Narrow" w:hAnsi="Arial Narrow"/>
                <w:sz w:val="20"/>
                <w:szCs w:val="20"/>
                <w:lang w:val="en-GB"/>
              </w:rPr>
              <w:t xml:space="preserve"> </w:t>
            </w:r>
            <w:r w:rsidRPr="00F85A6C">
              <w:rPr>
                <w:rFonts w:ascii="Arial Narrow" w:hAnsi="Arial Narrow"/>
                <w:sz w:val="20"/>
                <w:szCs w:val="20"/>
                <w:lang w:val="en-GB"/>
              </w:rPr>
              <w:t>to their passion for flying, may deter them from seeking appropriate</w:t>
            </w:r>
            <w:r>
              <w:rPr>
                <w:rFonts w:ascii="Arial Narrow" w:hAnsi="Arial Narrow"/>
                <w:sz w:val="20"/>
                <w:szCs w:val="20"/>
                <w:lang w:val="en-GB"/>
              </w:rPr>
              <w:t xml:space="preserve"> </w:t>
            </w:r>
            <w:r w:rsidRPr="00F85A6C">
              <w:rPr>
                <w:rFonts w:ascii="Arial Narrow" w:hAnsi="Arial Narrow"/>
                <w:sz w:val="20"/>
                <w:szCs w:val="20"/>
                <w:lang w:val="en-GB"/>
              </w:rPr>
              <w:t>health care</w:t>
            </w:r>
          </w:p>
          <w:p w:rsidR="00D76373" w:rsidRPr="00F85A6C" w:rsidRDefault="00D76373" w:rsidP="00F85A6C">
            <w:pPr>
              <w:ind w:left="284"/>
              <w:jc w:val="both"/>
              <w:rPr>
                <w:rFonts w:ascii="Arial Narrow" w:hAnsi="Arial Narrow"/>
                <w:sz w:val="20"/>
                <w:szCs w:val="20"/>
                <w:lang w:val="en-GB"/>
              </w:rPr>
            </w:pPr>
          </w:p>
        </w:tc>
      </w:tr>
      <w:tr w:rsidR="00F85A6C" w:rsidRPr="00C55DD1" w:rsidTr="0090058C">
        <w:trPr>
          <w:jc w:val="center"/>
        </w:trPr>
        <w:tc>
          <w:tcPr>
            <w:tcW w:w="8930" w:type="dxa"/>
            <w:shd w:val="clear" w:color="auto" w:fill="A6A6A6" w:themeFill="background1" w:themeFillShade="A6"/>
          </w:tcPr>
          <w:p w:rsidR="00F85A6C" w:rsidRPr="00F85A6C" w:rsidRDefault="00F85A6C" w:rsidP="00F85A6C">
            <w:pPr>
              <w:jc w:val="both"/>
              <w:rPr>
                <w:rFonts w:ascii="Arial Narrow" w:hAnsi="Arial Narrow"/>
                <w:b/>
                <w:i/>
                <w:sz w:val="20"/>
                <w:szCs w:val="20"/>
                <w:lang w:val="en-GB"/>
              </w:rPr>
            </w:pPr>
            <w:r w:rsidRPr="00F85A6C">
              <w:rPr>
                <w:rFonts w:ascii="Arial Narrow" w:hAnsi="Arial Narrow"/>
                <w:b/>
                <w:i/>
                <w:sz w:val="20"/>
                <w:szCs w:val="20"/>
                <w:lang w:val="en-GB"/>
              </w:rPr>
              <w:lastRenderedPageBreak/>
              <w:t xml:space="preserve">Summary of the response sent by the </w:t>
            </w:r>
            <w:r>
              <w:rPr>
                <w:rFonts w:ascii="Arial Narrow" w:hAnsi="Arial Narrow"/>
                <w:b/>
                <w:i/>
                <w:sz w:val="20"/>
                <w:szCs w:val="20"/>
                <w:lang w:val="en-GB"/>
              </w:rPr>
              <w:t>European Commission</w:t>
            </w:r>
            <w:r w:rsidRPr="00F85A6C">
              <w:rPr>
                <w:rFonts w:ascii="Arial Narrow" w:hAnsi="Arial Narrow"/>
                <w:b/>
                <w:i/>
                <w:sz w:val="20"/>
                <w:szCs w:val="20"/>
                <w:lang w:val="en-GB"/>
              </w:rPr>
              <w:t xml:space="preserve"> on 13 June 2016</w:t>
            </w:r>
          </w:p>
        </w:tc>
      </w:tr>
      <w:tr w:rsidR="00F85A6C" w:rsidRPr="00C55DD1" w:rsidTr="0090058C">
        <w:trPr>
          <w:jc w:val="center"/>
        </w:trPr>
        <w:tc>
          <w:tcPr>
            <w:tcW w:w="8930" w:type="dxa"/>
          </w:tcPr>
          <w:p w:rsidR="00970199" w:rsidRDefault="00F85A6C" w:rsidP="00970199">
            <w:pPr>
              <w:ind w:left="284"/>
              <w:jc w:val="both"/>
              <w:rPr>
                <w:rFonts w:ascii="Arial Narrow" w:hAnsi="Arial Narrow"/>
                <w:sz w:val="20"/>
                <w:szCs w:val="20"/>
                <w:lang w:val="en-GB"/>
              </w:rPr>
            </w:pPr>
            <w:r w:rsidRPr="00970199">
              <w:rPr>
                <w:rFonts w:ascii="Arial Narrow" w:hAnsi="Arial Narrow"/>
                <w:sz w:val="20"/>
                <w:szCs w:val="20"/>
                <w:lang w:val="en-GB"/>
              </w:rPr>
              <w:t>“(…) The Commission agrees that the recommendation must involve the Member States because the confidentiality of medical data is regulated by national rules.</w:t>
            </w:r>
            <w:r w:rsidRPr="00970199">
              <w:rPr>
                <w:rFonts w:ascii="Arial Narrow" w:hAnsi="Arial Narrow"/>
                <w:sz w:val="20"/>
                <w:szCs w:val="20"/>
                <w:lang w:val="en-US"/>
              </w:rPr>
              <w:t xml:space="preserve"> </w:t>
            </w:r>
            <w:r w:rsidR="00970199" w:rsidRPr="00970199">
              <w:rPr>
                <w:rFonts w:ascii="Arial Narrow" w:hAnsi="Arial Narrow"/>
                <w:sz w:val="20"/>
                <w:szCs w:val="20"/>
                <w:lang w:val="en-US"/>
              </w:rPr>
              <w:t xml:space="preserve">It is important to note that, on 7 December 2015 the Commission adopted a new Aviation </w:t>
            </w:r>
            <w:r w:rsidR="00970199">
              <w:rPr>
                <w:rFonts w:ascii="Arial Narrow" w:hAnsi="Arial Narrow"/>
                <w:sz w:val="20"/>
                <w:szCs w:val="20"/>
                <w:lang w:val="en-US"/>
              </w:rPr>
              <w:t>Strategy. It included a proposal</w:t>
            </w:r>
            <w:r w:rsidR="00970199" w:rsidRPr="00970199">
              <w:rPr>
                <w:rFonts w:ascii="Arial Narrow" w:hAnsi="Arial Narrow"/>
                <w:sz w:val="20"/>
                <w:szCs w:val="20"/>
                <w:lang w:val="en-US"/>
              </w:rPr>
              <w:t xml:space="preserve"> for a revision of the EUs aviation safety rules (Regulation (EC) No 216/2008).</w:t>
            </w:r>
            <w:r w:rsidR="00970199">
              <w:rPr>
                <w:rFonts w:ascii="Arial Narrow" w:hAnsi="Arial Narrow"/>
                <w:sz w:val="20"/>
                <w:szCs w:val="20"/>
                <w:lang w:val="en-US"/>
              </w:rPr>
              <w:t xml:space="preserve"> </w:t>
            </w:r>
            <w:r w:rsidRPr="00970199">
              <w:rPr>
                <w:rFonts w:ascii="Arial Narrow" w:hAnsi="Arial Narrow"/>
                <w:sz w:val="20"/>
                <w:szCs w:val="20"/>
                <w:lang w:val="en-GB"/>
              </w:rPr>
              <w:t>We would like to highlight that this proposa</w:t>
            </w:r>
            <w:r w:rsidR="00970199" w:rsidRPr="00970199">
              <w:rPr>
                <w:rFonts w:ascii="Arial Narrow" w:hAnsi="Arial Narrow"/>
                <w:sz w:val="20"/>
                <w:szCs w:val="20"/>
                <w:lang w:val="en-GB"/>
              </w:rPr>
              <w:t>l</w:t>
            </w:r>
            <w:r w:rsidRPr="00970199">
              <w:rPr>
                <w:rFonts w:ascii="Arial Narrow" w:hAnsi="Arial Narrow"/>
                <w:sz w:val="20"/>
                <w:szCs w:val="20"/>
                <w:lang w:val="en-GB"/>
              </w:rPr>
              <w:t xml:space="preserve"> addresses the issue of aeromedical data (</w:t>
            </w:r>
            <w:r w:rsidR="00970199">
              <w:rPr>
                <w:rFonts w:ascii="Arial Narrow" w:hAnsi="Arial Narrow"/>
                <w:sz w:val="20"/>
                <w:szCs w:val="20"/>
                <w:lang w:val="en-GB"/>
              </w:rPr>
              <w:t>…</w:t>
            </w:r>
            <w:r w:rsidRPr="00970199">
              <w:rPr>
                <w:rFonts w:ascii="Arial Narrow" w:hAnsi="Arial Narrow"/>
                <w:sz w:val="20"/>
                <w:szCs w:val="20"/>
                <w:lang w:val="en-GB"/>
              </w:rPr>
              <w:t>).</w:t>
            </w:r>
            <w:r w:rsidR="00970199" w:rsidRPr="00970199">
              <w:rPr>
                <w:rFonts w:ascii="Arial Narrow" w:hAnsi="Arial Narrow"/>
                <w:sz w:val="20"/>
                <w:szCs w:val="20"/>
                <w:lang w:val="en-GB"/>
              </w:rPr>
              <w:t xml:space="preserve"> </w:t>
            </w:r>
            <w:r w:rsidR="00970199">
              <w:rPr>
                <w:rFonts w:ascii="Arial Narrow" w:hAnsi="Arial Narrow"/>
                <w:sz w:val="20"/>
                <w:szCs w:val="20"/>
                <w:lang w:val="en-GB"/>
              </w:rPr>
              <w:t>Paragraph 2 of Art</w:t>
            </w:r>
            <w:r w:rsidRPr="00970199">
              <w:rPr>
                <w:rFonts w:ascii="Arial Narrow" w:hAnsi="Arial Narrow"/>
                <w:sz w:val="20"/>
                <w:szCs w:val="20"/>
                <w:lang w:val="en-GB"/>
              </w:rPr>
              <w:t>icle 63 states that: "</w:t>
            </w:r>
            <w:r w:rsidRPr="00970199">
              <w:rPr>
                <w:rFonts w:ascii="Arial Narrow" w:hAnsi="Arial Narrow"/>
                <w:i/>
                <w:sz w:val="20"/>
                <w:szCs w:val="20"/>
                <w:lang w:val="en-GB"/>
              </w:rPr>
              <w:t xml:space="preserve">The </w:t>
            </w:r>
            <w:r w:rsidR="00970199" w:rsidRPr="00970199">
              <w:rPr>
                <w:rFonts w:ascii="Arial Narrow" w:hAnsi="Arial Narrow"/>
                <w:i/>
                <w:sz w:val="20"/>
                <w:szCs w:val="20"/>
                <w:lang w:val="en-GB"/>
              </w:rPr>
              <w:t>national</w:t>
            </w:r>
            <w:r w:rsidRPr="00970199">
              <w:rPr>
                <w:rFonts w:ascii="Arial Narrow" w:hAnsi="Arial Narrow"/>
                <w:i/>
                <w:sz w:val="20"/>
                <w:szCs w:val="20"/>
                <w:lang w:val="en-GB"/>
              </w:rPr>
              <w:t xml:space="preserve"> competent </w:t>
            </w:r>
            <w:r w:rsidR="00970199" w:rsidRPr="00970199">
              <w:rPr>
                <w:rFonts w:ascii="Arial Narrow" w:hAnsi="Arial Narrow"/>
                <w:i/>
                <w:sz w:val="20"/>
                <w:szCs w:val="20"/>
                <w:lang w:val="en-GB"/>
              </w:rPr>
              <w:t>authorities</w:t>
            </w:r>
            <w:r w:rsidRPr="00970199">
              <w:rPr>
                <w:rFonts w:ascii="Arial Narrow" w:hAnsi="Arial Narrow"/>
                <w:i/>
                <w:sz w:val="20"/>
                <w:szCs w:val="20"/>
                <w:lang w:val="en-GB"/>
              </w:rPr>
              <w:t xml:space="preserve">, </w:t>
            </w:r>
            <w:r w:rsidR="00970199" w:rsidRPr="00970199">
              <w:rPr>
                <w:rFonts w:ascii="Arial Narrow" w:hAnsi="Arial Narrow"/>
                <w:i/>
                <w:sz w:val="20"/>
                <w:szCs w:val="20"/>
                <w:lang w:val="en-GB"/>
              </w:rPr>
              <w:t xml:space="preserve">aeromedical </w:t>
            </w:r>
            <w:r w:rsidRPr="00970199">
              <w:rPr>
                <w:rFonts w:ascii="Arial Narrow" w:hAnsi="Arial Narrow"/>
                <w:i/>
                <w:sz w:val="20"/>
                <w:szCs w:val="20"/>
                <w:lang w:val="en-GB"/>
              </w:rPr>
              <w:t xml:space="preserve">examiners and aeromedical centres shall also exchange through the </w:t>
            </w:r>
            <w:r w:rsidR="00970199" w:rsidRPr="00970199">
              <w:rPr>
                <w:rFonts w:ascii="Arial Narrow" w:hAnsi="Arial Narrow"/>
                <w:i/>
                <w:sz w:val="20"/>
                <w:szCs w:val="20"/>
                <w:lang w:val="en-GB"/>
              </w:rPr>
              <w:t>repository information</w:t>
            </w:r>
            <w:r w:rsidRPr="00970199">
              <w:rPr>
                <w:rFonts w:ascii="Arial Narrow" w:hAnsi="Arial Narrow"/>
                <w:i/>
                <w:sz w:val="20"/>
                <w:szCs w:val="20"/>
                <w:lang w:val="en-GB"/>
              </w:rPr>
              <w:t xml:space="preserve"> concerning medical</w:t>
            </w:r>
            <w:r w:rsidR="00970199" w:rsidRPr="00970199">
              <w:rPr>
                <w:rFonts w:ascii="Arial Narrow" w:hAnsi="Arial Narrow"/>
                <w:i/>
                <w:sz w:val="20"/>
                <w:szCs w:val="20"/>
                <w:lang w:val="en-GB"/>
              </w:rPr>
              <w:t xml:space="preserve"> </w:t>
            </w:r>
            <w:r w:rsidRPr="00970199">
              <w:rPr>
                <w:rFonts w:ascii="Arial Narrow" w:hAnsi="Arial Narrow"/>
                <w:i/>
                <w:sz w:val="20"/>
                <w:szCs w:val="20"/>
                <w:lang w:val="en-GB"/>
              </w:rPr>
              <w:t>fitness of</w:t>
            </w:r>
            <w:r w:rsidR="00970199" w:rsidRPr="00970199">
              <w:rPr>
                <w:rFonts w:ascii="Arial Narrow" w:hAnsi="Arial Narrow"/>
                <w:i/>
                <w:sz w:val="20"/>
                <w:szCs w:val="20"/>
                <w:lang w:val="en-GB"/>
              </w:rPr>
              <w:t xml:space="preserve"> pilots</w:t>
            </w:r>
            <w:r w:rsidRPr="00970199">
              <w:rPr>
                <w:rFonts w:ascii="Arial Narrow" w:hAnsi="Arial Narrow"/>
                <w:sz w:val="20"/>
                <w:szCs w:val="20"/>
                <w:lang w:val="en-GB"/>
              </w:rPr>
              <w:t>."</w:t>
            </w:r>
            <w:r w:rsidR="00970199">
              <w:rPr>
                <w:rFonts w:ascii="Arial Narrow" w:hAnsi="Arial Narrow"/>
                <w:sz w:val="20"/>
                <w:szCs w:val="20"/>
                <w:lang w:val="en-GB"/>
              </w:rPr>
              <w:t xml:space="preserve"> (…) and we would like to highlight that Paragraph 4 contains the following proposal</w:t>
            </w:r>
            <w:r w:rsidR="00970199" w:rsidRPr="00970199">
              <w:rPr>
                <w:rFonts w:ascii="Arial Narrow" w:hAnsi="Arial Narrow"/>
                <w:sz w:val="20"/>
                <w:szCs w:val="20"/>
                <w:lang w:val="en-GB"/>
              </w:rPr>
              <w:t>:</w:t>
            </w:r>
            <w:r w:rsidR="00970199">
              <w:rPr>
                <w:rFonts w:ascii="Arial Narrow" w:hAnsi="Arial Narrow"/>
                <w:sz w:val="20"/>
                <w:szCs w:val="20"/>
                <w:lang w:val="en-GB"/>
              </w:rPr>
              <w:t xml:space="preserve"> </w:t>
            </w:r>
            <w:r w:rsidR="00970199" w:rsidRPr="00970199">
              <w:rPr>
                <w:rFonts w:ascii="Arial Narrow" w:hAnsi="Arial Narrow"/>
                <w:sz w:val="20"/>
                <w:szCs w:val="20"/>
                <w:lang w:val="en-GB"/>
              </w:rPr>
              <w:t>"</w:t>
            </w:r>
            <w:r w:rsidR="00970199" w:rsidRPr="00970199">
              <w:rPr>
                <w:rFonts w:ascii="Arial Narrow" w:hAnsi="Arial Narrow"/>
                <w:i/>
                <w:sz w:val="20"/>
                <w:szCs w:val="20"/>
                <w:lang w:val="en-GB"/>
              </w:rPr>
              <w:t>Member St</w:t>
            </w:r>
            <w:r w:rsidR="00970199">
              <w:rPr>
                <w:rFonts w:ascii="Arial Narrow" w:hAnsi="Arial Narrow"/>
                <w:i/>
                <w:sz w:val="20"/>
                <w:szCs w:val="20"/>
                <w:lang w:val="en-GB"/>
              </w:rPr>
              <w:t>ates and t</w:t>
            </w:r>
            <w:r w:rsidR="00970199" w:rsidRPr="00970199">
              <w:rPr>
                <w:rFonts w:ascii="Arial Narrow" w:hAnsi="Arial Narrow"/>
                <w:i/>
                <w:sz w:val="20"/>
                <w:szCs w:val="20"/>
                <w:lang w:val="en-GB"/>
              </w:rPr>
              <w:t>he Agency shall ensure that data subjects whose personal data are processed in the repository are informed, ex ante, thereof</w:t>
            </w:r>
            <w:r w:rsidR="00970199" w:rsidRPr="00970199">
              <w:rPr>
                <w:rFonts w:ascii="Arial Narrow" w:hAnsi="Arial Narrow"/>
                <w:sz w:val="20"/>
                <w:szCs w:val="20"/>
                <w:lang w:val="en-GB"/>
              </w:rPr>
              <w:t>"</w:t>
            </w:r>
            <w:r w:rsidR="00970199">
              <w:rPr>
                <w:rFonts w:ascii="Arial Narrow" w:hAnsi="Arial Narrow"/>
                <w:sz w:val="20"/>
                <w:szCs w:val="20"/>
                <w:lang w:val="en-GB"/>
              </w:rPr>
              <w:t>.</w:t>
            </w:r>
          </w:p>
          <w:p w:rsidR="00F85A6C" w:rsidRDefault="00970199" w:rsidP="00970199">
            <w:pPr>
              <w:ind w:left="284"/>
              <w:jc w:val="both"/>
              <w:rPr>
                <w:rFonts w:ascii="Arial Narrow" w:hAnsi="Arial Narrow"/>
                <w:sz w:val="20"/>
                <w:szCs w:val="20"/>
                <w:lang w:val="en-GB"/>
              </w:rPr>
            </w:pPr>
            <w:r w:rsidRPr="00970199">
              <w:rPr>
                <w:rFonts w:ascii="Arial Narrow" w:hAnsi="Arial Narrow"/>
                <w:sz w:val="20"/>
                <w:szCs w:val="20"/>
                <w:lang w:val="en-GB"/>
              </w:rPr>
              <w:t>With the above context,</w:t>
            </w:r>
            <w:r>
              <w:rPr>
                <w:rFonts w:ascii="Arial Narrow" w:hAnsi="Arial Narrow"/>
                <w:sz w:val="20"/>
                <w:szCs w:val="20"/>
                <w:lang w:val="en-GB"/>
              </w:rPr>
              <w:t xml:space="preserve"> the intent is that the proposal</w:t>
            </w:r>
            <w:r w:rsidRPr="00970199">
              <w:rPr>
                <w:rFonts w:ascii="Arial Narrow" w:hAnsi="Arial Narrow"/>
                <w:sz w:val="20"/>
                <w:szCs w:val="20"/>
                <w:lang w:val="en-GB"/>
              </w:rPr>
              <w:t xml:space="preserve"> aims to inform the patient about the</w:t>
            </w:r>
            <w:r>
              <w:rPr>
                <w:rFonts w:ascii="Arial Narrow" w:hAnsi="Arial Narrow"/>
                <w:sz w:val="20"/>
                <w:szCs w:val="20"/>
                <w:lang w:val="en-GB"/>
              </w:rPr>
              <w:t xml:space="preserve"> </w:t>
            </w:r>
            <w:r w:rsidRPr="00970199">
              <w:rPr>
                <w:rFonts w:ascii="Arial Narrow" w:hAnsi="Arial Narrow"/>
                <w:sz w:val="20"/>
                <w:szCs w:val="20"/>
                <w:lang w:val="en-GB"/>
              </w:rPr>
              <w:t>process but not to seek their agreement. Paragraph 7 contains provisions to protect the</w:t>
            </w:r>
            <w:r>
              <w:rPr>
                <w:rFonts w:ascii="Arial Narrow" w:hAnsi="Arial Narrow"/>
                <w:sz w:val="20"/>
                <w:szCs w:val="20"/>
                <w:lang w:val="en-GB"/>
              </w:rPr>
              <w:t xml:space="preserve"> </w:t>
            </w:r>
            <w:r w:rsidRPr="00970199">
              <w:rPr>
                <w:rFonts w:ascii="Arial Narrow" w:hAnsi="Arial Narrow"/>
                <w:sz w:val="20"/>
                <w:szCs w:val="20"/>
                <w:lang w:val="en-GB"/>
              </w:rPr>
              <w:t>information included in the repository from unnecessary disclosure. Therefore, we</w:t>
            </w:r>
            <w:r>
              <w:rPr>
                <w:rFonts w:ascii="Arial Narrow" w:hAnsi="Arial Narrow"/>
                <w:sz w:val="20"/>
                <w:szCs w:val="20"/>
                <w:lang w:val="en-GB"/>
              </w:rPr>
              <w:t xml:space="preserve"> </w:t>
            </w:r>
            <w:r w:rsidRPr="00970199">
              <w:rPr>
                <w:rFonts w:ascii="Arial Narrow" w:hAnsi="Arial Narrow"/>
                <w:sz w:val="20"/>
                <w:szCs w:val="20"/>
                <w:lang w:val="en-GB"/>
              </w:rPr>
              <w:t>consider that this approach answers the intent of this safety recommendation</w:t>
            </w:r>
            <w:r>
              <w:rPr>
                <w:rFonts w:ascii="Arial Narrow" w:hAnsi="Arial Narrow"/>
                <w:sz w:val="20"/>
                <w:szCs w:val="20"/>
                <w:lang w:val="en-GB"/>
              </w:rPr>
              <w:t xml:space="preserve"> (…)</w:t>
            </w:r>
            <w:r w:rsidR="00F85A6C" w:rsidRPr="00970199">
              <w:rPr>
                <w:rFonts w:ascii="Arial Narrow" w:hAnsi="Arial Narrow"/>
                <w:sz w:val="20"/>
                <w:szCs w:val="20"/>
                <w:lang w:val="en-GB"/>
              </w:rPr>
              <w:t>”</w:t>
            </w:r>
          </w:p>
          <w:p w:rsidR="00D76373" w:rsidRPr="00970199" w:rsidRDefault="00D76373" w:rsidP="00970199">
            <w:pPr>
              <w:ind w:left="284"/>
              <w:jc w:val="both"/>
              <w:rPr>
                <w:rFonts w:ascii="Arial Narrow" w:hAnsi="Arial Narrow"/>
                <w:sz w:val="20"/>
                <w:szCs w:val="20"/>
                <w:lang w:val="en-GB"/>
              </w:rPr>
            </w:pPr>
          </w:p>
        </w:tc>
      </w:tr>
      <w:tr w:rsidR="00F85A6C" w:rsidRPr="00C55DD1" w:rsidTr="0090058C">
        <w:trPr>
          <w:jc w:val="center"/>
        </w:trPr>
        <w:tc>
          <w:tcPr>
            <w:tcW w:w="8930" w:type="dxa"/>
            <w:shd w:val="clear" w:color="auto" w:fill="A6A6A6" w:themeFill="background1" w:themeFillShade="A6"/>
          </w:tcPr>
          <w:p w:rsidR="00F85A6C" w:rsidRPr="00F85A6C" w:rsidRDefault="00F85A6C" w:rsidP="00443B7D">
            <w:pPr>
              <w:jc w:val="both"/>
              <w:rPr>
                <w:rFonts w:ascii="Arial Narrow" w:hAnsi="Arial Narrow"/>
                <w:b/>
                <w:i/>
                <w:sz w:val="20"/>
                <w:szCs w:val="20"/>
                <w:lang w:val="en-GB"/>
              </w:rPr>
            </w:pPr>
            <w:r w:rsidRPr="00F85A6C">
              <w:rPr>
                <w:rFonts w:ascii="Arial Narrow" w:hAnsi="Arial Narrow"/>
                <w:b/>
                <w:i/>
                <w:sz w:val="20"/>
                <w:szCs w:val="20"/>
                <w:lang w:val="en-GB"/>
              </w:rPr>
              <w:t>BEA’s assessment of the response sent on 13 July 2016</w:t>
            </w:r>
          </w:p>
        </w:tc>
      </w:tr>
      <w:tr w:rsidR="00F85A6C" w:rsidRPr="00AB7952" w:rsidTr="0090058C">
        <w:trPr>
          <w:jc w:val="center"/>
        </w:trPr>
        <w:tc>
          <w:tcPr>
            <w:tcW w:w="8930" w:type="dxa"/>
          </w:tcPr>
          <w:p w:rsidR="00F85A6C" w:rsidRDefault="00167D3F" w:rsidP="00167D3F">
            <w:pPr>
              <w:ind w:left="284"/>
              <w:jc w:val="both"/>
              <w:rPr>
                <w:rFonts w:ascii="Arial Narrow" w:hAnsi="Arial Narrow"/>
                <w:sz w:val="20"/>
                <w:szCs w:val="20"/>
                <w:lang w:val="en-GB"/>
              </w:rPr>
            </w:pPr>
            <w:r w:rsidRPr="00167D3F">
              <w:rPr>
                <w:rFonts w:ascii="Arial Narrow" w:hAnsi="Arial Narrow"/>
                <w:sz w:val="20"/>
                <w:szCs w:val="20"/>
                <w:lang w:val="en-GB"/>
              </w:rPr>
              <w:t xml:space="preserve">The BEA considers the European Commission response as </w:t>
            </w:r>
            <w:r w:rsidRPr="00167D3F">
              <w:rPr>
                <w:rFonts w:ascii="Arial Narrow" w:hAnsi="Arial Narrow"/>
                <w:b/>
                <w:sz w:val="20"/>
                <w:szCs w:val="20"/>
                <w:lang w:val="en-GB"/>
              </w:rPr>
              <w:t>not adequate</w:t>
            </w:r>
            <w:r w:rsidRPr="00167D3F">
              <w:rPr>
                <w:rFonts w:ascii="Arial Narrow" w:hAnsi="Arial Narrow"/>
                <w:sz w:val="20"/>
                <w:szCs w:val="20"/>
                <w:lang w:val="en-GB"/>
              </w:rPr>
              <w:t>.</w:t>
            </w:r>
            <w:r>
              <w:rPr>
                <w:rFonts w:ascii="Arial Narrow" w:hAnsi="Arial Narrow"/>
                <w:sz w:val="20"/>
                <w:szCs w:val="20"/>
                <w:lang w:val="en-GB"/>
              </w:rPr>
              <w:t xml:space="preserve"> (…)</w:t>
            </w:r>
          </w:p>
          <w:p w:rsidR="00167D3F" w:rsidRDefault="00167D3F" w:rsidP="00167D3F">
            <w:pPr>
              <w:ind w:left="284"/>
              <w:jc w:val="both"/>
              <w:rPr>
                <w:rFonts w:ascii="Arial Narrow" w:hAnsi="Arial Narrow"/>
                <w:sz w:val="20"/>
                <w:szCs w:val="20"/>
                <w:lang w:val="en-GB"/>
              </w:rPr>
            </w:pPr>
            <w:r w:rsidRPr="00167D3F">
              <w:rPr>
                <w:rFonts w:ascii="Arial Narrow" w:hAnsi="Arial Narrow"/>
                <w:sz w:val="20"/>
                <w:szCs w:val="20"/>
                <w:lang w:val="en-GB"/>
              </w:rPr>
              <w:t>The proposed revision of Regulation (EC) No 216/2008 does not apply to</w:t>
            </w:r>
            <w:r>
              <w:rPr>
                <w:rFonts w:ascii="Arial Narrow" w:hAnsi="Arial Narrow"/>
                <w:sz w:val="20"/>
                <w:szCs w:val="20"/>
                <w:lang w:val="en-GB"/>
              </w:rPr>
              <w:t xml:space="preserve"> </w:t>
            </w:r>
            <w:r w:rsidRPr="00167D3F">
              <w:rPr>
                <w:rFonts w:ascii="Arial Narrow" w:hAnsi="Arial Narrow"/>
                <w:sz w:val="20"/>
                <w:szCs w:val="20"/>
                <w:lang w:val="en-GB"/>
              </w:rPr>
              <w:t>general/private healthcare providers outside of the field of aeromedical</w:t>
            </w:r>
            <w:r>
              <w:rPr>
                <w:rFonts w:ascii="Arial Narrow" w:hAnsi="Arial Narrow"/>
                <w:sz w:val="20"/>
                <w:szCs w:val="20"/>
                <w:lang w:val="en-GB"/>
              </w:rPr>
              <w:t xml:space="preserve"> </w:t>
            </w:r>
            <w:r w:rsidRPr="00167D3F">
              <w:rPr>
                <w:rFonts w:ascii="Arial Narrow" w:hAnsi="Arial Narrow"/>
                <w:sz w:val="20"/>
                <w:szCs w:val="20"/>
                <w:lang w:val="en-GB"/>
              </w:rPr>
              <w:t>certification of pilot fitness. Therefore, without clear guidelines at the EU</w:t>
            </w:r>
            <w:r>
              <w:rPr>
                <w:rFonts w:ascii="Arial Narrow" w:hAnsi="Arial Narrow"/>
                <w:sz w:val="20"/>
                <w:szCs w:val="20"/>
                <w:lang w:val="en-GB"/>
              </w:rPr>
              <w:t xml:space="preserve"> </w:t>
            </w:r>
            <w:r w:rsidRPr="00167D3F">
              <w:rPr>
                <w:rFonts w:ascii="Arial Narrow" w:hAnsi="Arial Narrow"/>
                <w:sz w:val="20"/>
                <w:szCs w:val="20"/>
                <w:lang w:val="en-GB"/>
              </w:rPr>
              <w:t>level on the balance between medical confidentiality and public safety, it</w:t>
            </w:r>
            <w:r>
              <w:rPr>
                <w:rFonts w:ascii="Arial Narrow" w:hAnsi="Arial Narrow"/>
                <w:sz w:val="20"/>
                <w:szCs w:val="20"/>
                <w:lang w:val="en-GB"/>
              </w:rPr>
              <w:t xml:space="preserve"> </w:t>
            </w:r>
            <w:r w:rsidRPr="00167D3F">
              <w:rPr>
                <w:rFonts w:ascii="Arial Narrow" w:hAnsi="Arial Narrow"/>
                <w:sz w:val="20"/>
                <w:szCs w:val="20"/>
                <w:lang w:val="en-GB"/>
              </w:rPr>
              <w:t>is likely that private physicians in the EU would still be challenged in</w:t>
            </w:r>
            <w:r>
              <w:rPr>
                <w:rFonts w:ascii="Arial Narrow" w:hAnsi="Arial Narrow"/>
                <w:sz w:val="20"/>
                <w:szCs w:val="20"/>
                <w:lang w:val="en-GB"/>
              </w:rPr>
              <w:t xml:space="preserve"> </w:t>
            </w:r>
            <w:r w:rsidRPr="00167D3F">
              <w:rPr>
                <w:rFonts w:ascii="Arial Narrow" w:hAnsi="Arial Narrow"/>
                <w:sz w:val="20"/>
                <w:szCs w:val="20"/>
                <w:lang w:val="en-GB"/>
              </w:rPr>
              <w:t>their decision process when they become aware that the a pilot, who</w:t>
            </w:r>
            <w:r>
              <w:rPr>
                <w:rFonts w:ascii="Arial Narrow" w:hAnsi="Arial Narrow"/>
                <w:sz w:val="20"/>
                <w:szCs w:val="20"/>
                <w:lang w:val="en-GB"/>
              </w:rPr>
              <w:t xml:space="preserve"> </w:t>
            </w:r>
            <w:r w:rsidRPr="00167D3F">
              <w:rPr>
                <w:rFonts w:ascii="Arial Narrow" w:hAnsi="Arial Narrow"/>
                <w:sz w:val="20"/>
                <w:szCs w:val="20"/>
                <w:lang w:val="en-GB"/>
              </w:rPr>
              <w:t>they see as their patient, is very likely to impact public safety.</w:t>
            </w:r>
            <w:r>
              <w:rPr>
                <w:rFonts w:ascii="Arial Narrow" w:hAnsi="Arial Narrow"/>
                <w:sz w:val="20"/>
                <w:szCs w:val="20"/>
                <w:lang w:val="en-GB"/>
              </w:rPr>
              <w:t xml:space="preserve"> (…)</w:t>
            </w:r>
          </w:p>
          <w:p w:rsidR="00D76373" w:rsidRDefault="00D76373" w:rsidP="00167D3F">
            <w:pPr>
              <w:ind w:left="284"/>
              <w:jc w:val="both"/>
              <w:rPr>
                <w:rFonts w:ascii="Arial Narrow" w:hAnsi="Arial Narrow"/>
                <w:sz w:val="20"/>
                <w:szCs w:val="20"/>
                <w:lang w:val="en-GB"/>
              </w:rPr>
            </w:pPr>
          </w:p>
        </w:tc>
      </w:tr>
    </w:tbl>
    <w:p w:rsidR="00C30FF8" w:rsidRPr="00C30FF8" w:rsidRDefault="00C30FF8" w:rsidP="00C30FF8">
      <w:pPr>
        <w:jc w:val="both"/>
        <w:rPr>
          <w:lang w:val="en-GB"/>
        </w:rPr>
      </w:pPr>
    </w:p>
    <w:tbl>
      <w:tblPr>
        <w:tblStyle w:val="Grilledutableau"/>
        <w:tblW w:w="8930" w:type="dxa"/>
        <w:jc w:val="center"/>
        <w:tblInd w:w="959" w:type="dxa"/>
        <w:tblLook w:val="04A0" w:firstRow="1" w:lastRow="0" w:firstColumn="1" w:lastColumn="0" w:noHBand="0" w:noVBand="1"/>
      </w:tblPr>
      <w:tblGrid>
        <w:gridCol w:w="8930"/>
      </w:tblGrid>
      <w:tr w:rsidR="00167D3F" w:rsidRPr="00C55DD1" w:rsidTr="0090058C">
        <w:trPr>
          <w:jc w:val="center"/>
        </w:trPr>
        <w:tc>
          <w:tcPr>
            <w:tcW w:w="8930" w:type="dxa"/>
            <w:shd w:val="clear" w:color="auto" w:fill="A6A6A6" w:themeFill="background1" w:themeFillShade="A6"/>
          </w:tcPr>
          <w:p w:rsidR="00167D3F" w:rsidRPr="00F85A6C" w:rsidRDefault="00CE366A" w:rsidP="00167D3F">
            <w:pPr>
              <w:jc w:val="both"/>
              <w:rPr>
                <w:rFonts w:ascii="Arial Narrow" w:hAnsi="Arial Narrow"/>
                <w:b/>
                <w:sz w:val="20"/>
                <w:szCs w:val="20"/>
                <w:lang w:val="en-GB"/>
              </w:rPr>
            </w:pPr>
            <w:r>
              <w:rPr>
                <w:rFonts w:ascii="Arial Narrow" w:hAnsi="Arial Narrow"/>
                <w:b/>
                <w:sz w:val="20"/>
                <w:szCs w:val="20"/>
                <w:lang w:val="en-GB"/>
              </w:rPr>
              <w:t xml:space="preserve">BEA </w:t>
            </w:r>
            <w:r w:rsidR="00167D3F" w:rsidRPr="00F85A6C">
              <w:rPr>
                <w:rFonts w:ascii="Arial Narrow" w:hAnsi="Arial Narrow"/>
                <w:b/>
                <w:sz w:val="20"/>
                <w:szCs w:val="20"/>
                <w:lang w:val="en-GB"/>
              </w:rPr>
              <w:t>Safety recommendation FRAN-2016-01</w:t>
            </w:r>
            <w:r w:rsidR="00167D3F">
              <w:rPr>
                <w:rFonts w:ascii="Arial Narrow" w:hAnsi="Arial Narrow"/>
                <w:b/>
                <w:sz w:val="20"/>
                <w:szCs w:val="20"/>
                <w:lang w:val="en-GB"/>
              </w:rPr>
              <w:t>7</w:t>
            </w:r>
            <w:r w:rsidR="00167D3F" w:rsidRPr="00F85A6C">
              <w:rPr>
                <w:rFonts w:ascii="Arial Narrow" w:hAnsi="Arial Narrow"/>
                <w:b/>
                <w:sz w:val="20"/>
                <w:szCs w:val="20"/>
                <w:lang w:val="en-GB"/>
              </w:rPr>
              <w:t xml:space="preserve"> issued on 15 March 2016</w:t>
            </w:r>
          </w:p>
        </w:tc>
      </w:tr>
      <w:tr w:rsidR="00167D3F" w:rsidRPr="00C55DD1" w:rsidTr="0090058C">
        <w:trPr>
          <w:jc w:val="center"/>
        </w:trPr>
        <w:tc>
          <w:tcPr>
            <w:tcW w:w="8930" w:type="dxa"/>
          </w:tcPr>
          <w:p w:rsidR="00167D3F" w:rsidRDefault="00167D3F" w:rsidP="00167D3F">
            <w:pPr>
              <w:ind w:left="284"/>
              <w:jc w:val="both"/>
              <w:rPr>
                <w:rFonts w:ascii="Arial Narrow" w:hAnsi="Arial Narrow"/>
                <w:sz w:val="20"/>
                <w:szCs w:val="20"/>
                <w:lang w:val="en-GB"/>
              </w:rPr>
            </w:pPr>
            <w:r w:rsidRPr="00167D3F">
              <w:rPr>
                <w:rFonts w:ascii="Arial Narrow" w:hAnsi="Arial Narrow"/>
                <w:sz w:val="20"/>
                <w:szCs w:val="20"/>
                <w:lang w:val="en-GB"/>
              </w:rPr>
              <w:t xml:space="preserve">The </w:t>
            </w:r>
            <w:r w:rsidRPr="00167D3F">
              <w:rPr>
                <w:rFonts w:ascii="Arial Narrow" w:hAnsi="Arial Narrow"/>
                <w:b/>
                <w:sz w:val="20"/>
                <w:szCs w:val="20"/>
                <w:lang w:val="en-GB"/>
              </w:rPr>
              <w:t>World Health Organization</w:t>
            </w:r>
            <w:r w:rsidRPr="00167D3F">
              <w:rPr>
                <w:rFonts w:ascii="Arial Narrow" w:hAnsi="Arial Narrow"/>
                <w:sz w:val="20"/>
                <w:szCs w:val="20"/>
                <w:lang w:val="en-GB"/>
              </w:rPr>
              <w:t xml:space="preserve"> develop guidelines for its Member</w:t>
            </w:r>
            <w:r>
              <w:rPr>
                <w:rFonts w:ascii="Arial Narrow" w:hAnsi="Arial Narrow"/>
                <w:sz w:val="20"/>
                <w:szCs w:val="20"/>
                <w:lang w:val="en-GB"/>
              </w:rPr>
              <w:t xml:space="preserve"> </w:t>
            </w:r>
            <w:r w:rsidRPr="00167D3F">
              <w:rPr>
                <w:rFonts w:ascii="Arial Narrow" w:hAnsi="Arial Narrow"/>
                <w:sz w:val="20"/>
                <w:szCs w:val="20"/>
                <w:lang w:val="en-GB"/>
              </w:rPr>
              <w:t>States in order to help them define clear rules to require health care</w:t>
            </w:r>
            <w:r>
              <w:rPr>
                <w:rFonts w:ascii="Arial Narrow" w:hAnsi="Arial Narrow"/>
                <w:sz w:val="20"/>
                <w:szCs w:val="20"/>
                <w:lang w:val="en-GB"/>
              </w:rPr>
              <w:t xml:space="preserve"> </w:t>
            </w:r>
            <w:r w:rsidRPr="00167D3F">
              <w:rPr>
                <w:rFonts w:ascii="Arial Narrow" w:hAnsi="Arial Narrow"/>
                <w:sz w:val="20"/>
                <w:szCs w:val="20"/>
                <w:lang w:val="en-GB"/>
              </w:rPr>
              <w:t>providers to inform the appropriate authorities when a specific patient’s</w:t>
            </w:r>
            <w:r>
              <w:rPr>
                <w:rFonts w:ascii="Arial Narrow" w:hAnsi="Arial Narrow"/>
                <w:sz w:val="20"/>
                <w:szCs w:val="20"/>
                <w:lang w:val="en-GB"/>
              </w:rPr>
              <w:t xml:space="preserve"> </w:t>
            </w:r>
            <w:r w:rsidRPr="00167D3F">
              <w:rPr>
                <w:rFonts w:ascii="Arial Narrow" w:hAnsi="Arial Narrow"/>
                <w:sz w:val="20"/>
                <w:szCs w:val="20"/>
                <w:lang w:val="en-GB"/>
              </w:rPr>
              <w:t>health is very likely to impact public safety, including when the patient</w:t>
            </w:r>
            <w:r>
              <w:rPr>
                <w:rFonts w:ascii="Arial Narrow" w:hAnsi="Arial Narrow"/>
                <w:sz w:val="20"/>
                <w:szCs w:val="20"/>
                <w:lang w:val="en-GB"/>
              </w:rPr>
              <w:t xml:space="preserve"> </w:t>
            </w:r>
            <w:r w:rsidRPr="00167D3F">
              <w:rPr>
                <w:rFonts w:ascii="Arial Narrow" w:hAnsi="Arial Narrow"/>
                <w:sz w:val="20"/>
                <w:szCs w:val="20"/>
                <w:lang w:val="en-GB"/>
              </w:rPr>
              <w:t>refuses to consent, without legal risk to the health care provider, while</w:t>
            </w:r>
            <w:r>
              <w:rPr>
                <w:rFonts w:ascii="Arial Narrow" w:hAnsi="Arial Narrow"/>
                <w:sz w:val="20"/>
                <w:szCs w:val="20"/>
                <w:lang w:val="en-GB"/>
              </w:rPr>
              <w:t xml:space="preserve"> </w:t>
            </w:r>
            <w:r w:rsidRPr="00167D3F">
              <w:rPr>
                <w:rFonts w:ascii="Arial Narrow" w:hAnsi="Arial Narrow"/>
                <w:sz w:val="20"/>
                <w:szCs w:val="20"/>
                <w:lang w:val="en-GB"/>
              </w:rPr>
              <w:t>still protecting patients’ private data from unnecessary disclosure</w:t>
            </w:r>
            <w:r>
              <w:rPr>
                <w:rFonts w:ascii="Arial Narrow" w:hAnsi="Arial Narrow"/>
                <w:sz w:val="20"/>
                <w:szCs w:val="20"/>
                <w:lang w:val="en-GB"/>
              </w:rPr>
              <w:t>.</w:t>
            </w:r>
          </w:p>
          <w:p w:rsidR="00D76373" w:rsidRPr="00167D3F" w:rsidRDefault="00D76373" w:rsidP="00167D3F">
            <w:pPr>
              <w:ind w:left="284"/>
              <w:jc w:val="both"/>
              <w:rPr>
                <w:rFonts w:ascii="Arial Narrow" w:hAnsi="Arial Narrow"/>
                <w:sz w:val="20"/>
                <w:szCs w:val="20"/>
                <w:lang w:val="en-US"/>
              </w:rPr>
            </w:pPr>
          </w:p>
        </w:tc>
      </w:tr>
      <w:tr w:rsidR="00167D3F" w:rsidRPr="00C55DD1" w:rsidTr="0090058C">
        <w:trPr>
          <w:jc w:val="center"/>
        </w:trPr>
        <w:tc>
          <w:tcPr>
            <w:tcW w:w="8930" w:type="dxa"/>
            <w:shd w:val="clear" w:color="auto" w:fill="A6A6A6" w:themeFill="background1" w:themeFillShade="A6"/>
          </w:tcPr>
          <w:p w:rsidR="00167D3F" w:rsidRPr="00F85A6C" w:rsidRDefault="00167D3F" w:rsidP="007462E4">
            <w:pPr>
              <w:jc w:val="both"/>
              <w:rPr>
                <w:rFonts w:ascii="Arial Narrow" w:hAnsi="Arial Narrow"/>
                <w:b/>
                <w:i/>
                <w:sz w:val="20"/>
                <w:szCs w:val="20"/>
                <w:lang w:val="en-GB"/>
              </w:rPr>
            </w:pPr>
            <w:r>
              <w:rPr>
                <w:rFonts w:ascii="Arial Narrow" w:hAnsi="Arial Narrow"/>
                <w:b/>
                <w:i/>
                <w:sz w:val="20"/>
                <w:szCs w:val="20"/>
                <w:lang w:val="en-GB"/>
              </w:rPr>
              <w:t>R</w:t>
            </w:r>
            <w:r w:rsidR="007462E4">
              <w:rPr>
                <w:rFonts w:ascii="Arial Narrow" w:hAnsi="Arial Narrow"/>
                <w:b/>
                <w:i/>
                <w:sz w:val="20"/>
                <w:szCs w:val="20"/>
                <w:lang w:val="en-GB"/>
              </w:rPr>
              <w:t>esponse sent</w:t>
            </w:r>
            <w:r w:rsidR="00E343F5">
              <w:rPr>
                <w:rFonts w:ascii="Arial Narrow" w:hAnsi="Arial Narrow"/>
                <w:b/>
                <w:i/>
                <w:sz w:val="20"/>
                <w:szCs w:val="20"/>
                <w:lang w:val="en-GB"/>
              </w:rPr>
              <w:t xml:space="preserve"> by</w:t>
            </w:r>
            <w:r w:rsidR="007462E4">
              <w:rPr>
                <w:rFonts w:ascii="Arial Narrow" w:hAnsi="Arial Narrow"/>
                <w:b/>
                <w:i/>
                <w:sz w:val="20"/>
                <w:szCs w:val="20"/>
                <w:lang w:val="en-GB"/>
              </w:rPr>
              <w:t xml:space="preserve"> the WHO</w:t>
            </w:r>
          </w:p>
        </w:tc>
      </w:tr>
      <w:tr w:rsidR="00167D3F" w:rsidRPr="00C55DD1" w:rsidTr="0090058C">
        <w:trPr>
          <w:jc w:val="center"/>
        </w:trPr>
        <w:tc>
          <w:tcPr>
            <w:tcW w:w="8930" w:type="dxa"/>
          </w:tcPr>
          <w:p w:rsidR="00167D3F" w:rsidRDefault="00167D3F" w:rsidP="00167D3F">
            <w:pPr>
              <w:ind w:left="284"/>
              <w:jc w:val="both"/>
              <w:rPr>
                <w:rFonts w:ascii="Arial Narrow" w:hAnsi="Arial Narrow"/>
                <w:sz w:val="20"/>
                <w:szCs w:val="20"/>
                <w:lang w:val="en-GB"/>
              </w:rPr>
            </w:pPr>
            <w:r>
              <w:rPr>
                <w:rFonts w:ascii="Arial Narrow" w:hAnsi="Arial Narrow"/>
                <w:sz w:val="20"/>
                <w:szCs w:val="20"/>
                <w:lang w:val="en-GB"/>
              </w:rPr>
              <w:t>None.</w:t>
            </w:r>
          </w:p>
          <w:p w:rsidR="00167D3F" w:rsidRDefault="00BE1EA9" w:rsidP="00AC32DA">
            <w:pPr>
              <w:ind w:left="284"/>
              <w:jc w:val="both"/>
              <w:rPr>
                <w:rFonts w:ascii="Arial Narrow" w:hAnsi="Arial Narrow"/>
                <w:sz w:val="20"/>
                <w:szCs w:val="20"/>
                <w:lang w:val="en-GB"/>
              </w:rPr>
            </w:pPr>
            <w:r>
              <w:rPr>
                <w:rFonts w:ascii="Arial Narrow" w:hAnsi="Arial Narrow"/>
                <w:sz w:val="20"/>
                <w:szCs w:val="20"/>
                <w:lang w:val="en-GB"/>
              </w:rPr>
              <w:t xml:space="preserve">The BEA’s multiple requests for a response, including a chasing letter </w:t>
            </w:r>
            <w:r w:rsidR="00CE366A">
              <w:rPr>
                <w:rFonts w:ascii="Arial Narrow" w:hAnsi="Arial Narrow"/>
                <w:sz w:val="20"/>
                <w:szCs w:val="20"/>
                <w:lang w:val="en-GB"/>
              </w:rPr>
              <w:t xml:space="preserve">sent </w:t>
            </w:r>
            <w:r>
              <w:rPr>
                <w:rFonts w:ascii="Arial Narrow" w:hAnsi="Arial Narrow"/>
                <w:sz w:val="20"/>
                <w:szCs w:val="20"/>
                <w:lang w:val="en-GB"/>
              </w:rPr>
              <w:t xml:space="preserve">to the Director General of WHO </w:t>
            </w:r>
            <w:r w:rsidR="00CE366A">
              <w:rPr>
                <w:rFonts w:ascii="Arial Narrow" w:hAnsi="Arial Narrow"/>
                <w:sz w:val="20"/>
                <w:szCs w:val="20"/>
                <w:lang w:val="en-GB"/>
              </w:rPr>
              <w:t>on</w:t>
            </w:r>
            <w:r w:rsidR="00E139C0">
              <w:rPr>
                <w:rFonts w:ascii="Arial Narrow" w:hAnsi="Arial Narrow"/>
                <w:sz w:val="20"/>
                <w:szCs w:val="20"/>
                <w:lang w:val="en-GB"/>
              </w:rPr>
              <w:t xml:space="preserve"> 20 February</w:t>
            </w:r>
            <w:r>
              <w:rPr>
                <w:rFonts w:ascii="Arial Narrow" w:hAnsi="Arial Narrow"/>
                <w:sz w:val="20"/>
                <w:szCs w:val="20"/>
                <w:lang w:val="en-GB"/>
              </w:rPr>
              <w:t xml:space="preserve"> 2017 were all left unanswered.</w:t>
            </w:r>
          </w:p>
          <w:p w:rsidR="00D76373" w:rsidRPr="00AB7952" w:rsidRDefault="00D76373" w:rsidP="00AC32DA">
            <w:pPr>
              <w:ind w:left="284"/>
              <w:jc w:val="both"/>
              <w:rPr>
                <w:rFonts w:ascii="Arial Narrow" w:hAnsi="Arial Narrow"/>
                <w:sz w:val="20"/>
                <w:szCs w:val="20"/>
                <w:lang w:val="en-GB"/>
              </w:rPr>
            </w:pPr>
          </w:p>
        </w:tc>
      </w:tr>
      <w:tr w:rsidR="00167D3F" w:rsidRPr="00C55DD1" w:rsidTr="0090058C">
        <w:trPr>
          <w:jc w:val="center"/>
        </w:trPr>
        <w:tc>
          <w:tcPr>
            <w:tcW w:w="8930" w:type="dxa"/>
            <w:shd w:val="clear" w:color="auto" w:fill="A6A6A6" w:themeFill="background1" w:themeFillShade="A6"/>
          </w:tcPr>
          <w:p w:rsidR="00167D3F" w:rsidRPr="00F85A6C" w:rsidRDefault="00167D3F" w:rsidP="00E139C0">
            <w:pPr>
              <w:jc w:val="both"/>
              <w:rPr>
                <w:rFonts w:ascii="Arial Narrow" w:hAnsi="Arial Narrow"/>
                <w:b/>
                <w:i/>
                <w:sz w:val="20"/>
                <w:szCs w:val="20"/>
                <w:lang w:val="en-GB"/>
              </w:rPr>
            </w:pPr>
            <w:r w:rsidRPr="00F85A6C">
              <w:rPr>
                <w:rFonts w:ascii="Arial Narrow" w:hAnsi="Arial Narrow"/>
                <w:b/>
                <w:i/>
                <w:sz w:val="20"/>
                <w:szCs w:val="20"/>
                <w:lang w:val="en-GB"/>
              </w:rPr>
              <w:t xml:space="preserve">BEA’s assessment of the response </w:t>
            </w:r>
          </w:p>
        </w:tc>
      </w:tr>
      <w:tr w:rsidR="00167D3F" w:rsidRPr="00AB7952" w:rsidTr="0090058C">
        <w:trPr>
          <w:jc w:val="center"/>
        </w:trPr>
        <w:tc>
          <w:tcPr>
            <w:tcW w:w="8930" w:type="dxa"/>
          </w:tcPr>
          <w:p w:rsidR="00167D3F" w:rsidRDefault="00E139C0" w:rsidP="00443B7D">
            <w:pPr>
              <w:ind w:left="284"/>
              <w:jc w:val="both"/>
              <w:rPr>
                <w:rFonts w:ascii="Arial Narrow" w:hAnsi="Arial Narrow"/>
                <w:sz w:val="20"/>
                <w:szCs w:val="20"/>
                <w:lang w:val="en-GB"/>
              </w:rPr>
            </w:pPr>
            <w:r>
              <w:rPr>
                <w:rFonts w:ascii="Arial Narrow" w:hAnsi="Arial Narrow"/>
                <w:sz w:val="20"/>
                <w:szCs w:val="20"/>
                <w:lang w:val="en-GB"/>
              </w:rPr>
              <w:t>N/A</w:t>
            </w:r>
          </w:p>
          <w:p w:rsidR="00D76373" w:rsidRDefault="00D76373" w:rsidP="00443B7D">
            <w:pPr>
              <w:ind w:left="284"/>
              <w:jc w:val="both"/>
              <w:rPr>
                <w:rFonts w:ascii="Arial Narrow" w:hAnsi="Arial Narrow"/>
                <w:sz w:val="20"/>
                <w:szCs w:val="20"/>
                <w:lang w:val="en-GB"/>
              </w:rPr>
            </w:pPr>
          </w:p>
        </w:tc>
      </w:tr>
    </w:tbl>
    <w:p w:rsidR="006A6393" w:rsidRDefault="006A6393" w:rsidP="00B34F1E">
      <w:pPr>
        <w:jc w:val="both"/>
        <w:rPr>
          <w:lang w:val="en-GB"/>
        </w:rPr>
      </w:pPr>
    </w:p>
    <w:tbl>
      <w:tblPr>
        <w:tblStyle w:val="Grilledutableau"/>
        <w:tblW w:w="8930" w:type="dxa"/>
        <w:jc w:val="center"/>
        <w:tblInd w:w="959" w:type="dxa"/>
        <w:tblLook w:val="04A0" w:firstRow="1" w:lastRow="0" w:firstColumn="1" w:lastColumn="0" w:noHBand="0" w:noVBand="1"/>
      </w:tblPr>
      <w:tblGrid>
        <w:gridCol w:w="8930"/>
      </w:tblGrid>
      <w:tr w:rsidR="002D2DAD" w:rsidRPr="00C55DD1" w:rsidTr="0090058C">
        <w:trPr>
          <w:jc w:val="center"/>
        </w:trPr>
        <w:tc>
          <w:tcPr>
            <w:tcW w:w="8930" w:type="dxa"/>
            <w:shd w:val="clear" w:color="auto" w:fill="A6A6A6" w:themeFill="background1" w:themeFillShade="A6"/>
          </w:tcPr>
          <w:p w:rsidR="002D2DAD" w:rsidRPr="00F85A6C" w:rsidRDefault="002D2DAD" w:rsidP="002D2DAD">
            <w:pPr>
              <w:jc w:val="both"/>
              <w:rPr>
                <w:rFonts w:ascii="Arial Narrow" w:hAnsi="Arial Narrow"/>
                <w:b/>
                <w:sz w:val="20"/>
                <w:szCs w:val="20"/>
                <w:lang w:val="en-GB"/>
              </w:rPr>
            </w:pPr>
            <w:r>
              <w:rPr>
                <w:rFonts w:ascii="Arial Narrow" w:hAnsi="Arial Narrow"/>
                <w:b/>
                <w:sz w:val="20"/>
                <w:szCs w:val="20"/>
                <w:lang w:val="en-GB"/>
              </w:rPr>
              <w:t xml:space="preserve">BEA </w:t>
            </w:r>
            <w:r w:rsidRPr="00F85A6C">
              <w:rPr>
                <w:rFonts w:ascii="Arial Narrow" w:hAnsi="Arial Narrow"/>
                <w:b/>
                <w:sz w:val="20"/>
                <w:szCs w:val="20"/>
                <w:lang w:val="en-GB"/>
              </w:rPr>
              <w:t>Safety recommendation FRAN-2016-01</w:t>
            </w:r>
            <w:r>
              <w:rPr>
                <w:rFonts w:ascii="Arial Narrow" w:hAnsi="Arial Narrow"/>
                <w:b/>
                <w:sz w:val="20"/>
                <w:szCs w:val="20"/>
                <w:lang w:val="en-GB"/>
              </w:rPr>
              <w:t>6</w:t>
            </w:r>
            <w:r w:rsidRPr="00F85A6C">
              <w:rPr>
                <w:rFonts w:ascii="Arial Narrow" w:hAnsi="Arial Narrow"/>
                <w:b/>
                <w:sz w:val="20"/>
                <w:szCs w:val="20"/>
                <w:lang w:val="en-GB"/>
              </w:rPr>
              <w:t xml:space="preserve"> issued on 15 March 2016</w:t>
            </w:r>
          </w:p>
        </w:tc>
      </w:tr>
      <w:tr w:rsidR="002D2DAD" w:rsidRPr="00C55DD1" w:rsidTr="0090058C">
        <w:trPr>
          <w:jc w:val="center"/>
        </w:trPr>
        <w:tc>
          <w:tcPr>
            <w:tcW w:w="8930" w:type="dxa"/>
          </w:tcPr>
          <w:p w:rsidR="002D2DAD" w:rsidRDefault="002D2DAD" w:rsidP="002D2DAD">
            <w:pPr>
              <w:ind w:left="284"/>
              <w:jc w:val="both"/>
              <w:rPr>
                <w:rFonts w:ascii="Arial Narrow" w:hAnsi="Arial Narrow"/>
                <w:sz w:val="20"/>
                <w:szCs w:val="20"/>
                <w:lang w:val="en-GB"/>
              </w:rPr>
            </w:pPr>
            <w:r w:rsidRPr="002D2DAD">
              <w:rPr>
                <w:rFonts w:ascii="Arial Narrow" w:hAnsi="Arial Narrow"/>
                <w:b/>
                <w:sz w:val="20"/>
                <w:szCs w:val="20"/>
                <w:lang w:val="en-GB"/>
              </w:rPr>
              <w:t>EASA</w:t>
            </w:r>
            <w:r w:rsidRPr="002D2DAD">
              <w:rPr>
                <w:rFonts w:ascii="Arial Narrow" w:hAnsi="Arial Narrow"/>
                <w:sz w:val="20"/>
                <w:szCs w:val="20"/>
                <w:lang w:val="en-GB"/>
              </w:rPr>
              <w:t xml:space="preserve"> define the modalities under which EU regulations would allow</w:t>
            </w:r>
            <w:r>
              <w:rPr>
                <w:rFonts w:ascii="Arial Narrow" w:hAnsi="Arial Narrow"/>
                <w:sz w:val="20"/>
                <w:szCs w:val="20"/>
                <w:lang w:val="en-GB"/>
              </w:rPr>
              <w:t xml:space="preserve"> </w:t>
            </w:r>
            <w:r w:rsidRPr="002D2DAD">
              <w:rPr>
                <w:rFonts w:ascii="Arial Narrow" w:hAnsi="Arial Narrow"/>
                <w:sz w:val="20"/>
                <w:szCs w:val="20"/>
                <w:lang w:val="en-GB"/>
              </w:rPr>
              <w:t>pilots to be declared fit to fly while taking anti-depressant medication</w:t>
            </w:r>
            <w:r>
              <w:rPr>
                <w:rFonts w:ascii="Arial Narrow" w:hAnsi="Arial Narrow"/>
                <w:sz w:val="20"/>
                <w:szCs w:val="20"/>
                <w:lang w:val="en-GB"/>
              </w:rPr>
              <w:t xml:space="preserve"> </w:t>
            </w:r>
            <w:r w:rsidRPr="002D2DAD">
              <w:rPr>
                <w:rFonts w:ascii="Arial Narrow" w:hAnsi="Arial Narrow"/>
                <w:sz w:val="20"/>
                <w:szCs w:val="20"/>
                <w:lang w:val="en-GB"/>
              </w:rPr>
              <w:t>under medical supervision</w:t>
            </w:r>
            <w:r>
              <w:rPr>
                <w:rFonts w:ascii="Arial Narrow" w:hAnsi="Arial Narrow"/>
                <w:sz w:val="20"/>
                <w:szCs w:val="20"/>
                <w:lang w:val="en-GB"/>
              </w:rPr>
              <w:t>.</w:t>
            </w:r>
          </w:p>
          <w:p w:rsidR="00D76373" w:rsidRPr="00167D3F" w:rsidRDefault="00D76373" w:rsidP="002D2DAD">
            <w:pPr>
              <w:ind w:left="284"/>
              <w:jc w:val="both"/>
              <w:rPr>
                <w:rFonts w:ascii="Arial Narrow" w:hAnsi="Arial Narrow"/>
                <w:sz w:val="20"/>
                <w:szCs w:val="20"/>
                <w:lang w:val="en-US"/>
              </w:rPr>
            </w:pPr>
          </w:p>
        </w:tc>
      </w:tr>
      <w:tr w:rsidR="002D2DAD" w:rsidRPr="009F7E20" w:rsidTr="0090058C">
        <w:trPr>
          <w:jc w:val="center"/>
        </w:trPr>
        <w:tc>
          <w:tcPr>
            <w:tcW w:w="8930" w:type="dxa"/>
            <w:shd w:val="clear" w:color="auto" w:fill="A6A6A6" w:themeFill="background1" w:themeFillShade="A6"/>
          </w:tcPr>
          <w:p w:rsidR="002D2DAD" w:rsidRPr="00F85A6C" w:rsidRDefault="002D2DAD" w:rsidP="007462E4">
            <w:pPr>
              <w:jc w:val="both"/>
              <w:rPr>
                <w:rFonts w:ascii="Arial Narrow" w:hAnsi="Arial Narrow"/>
                <w:b/>
                <w:i/>
                <w:sz w:val="20"/>
                <w:szCs w:val="20"/>
                <w:lang w:val="en-GB"/>
              </w:rPr>
            </w:pPr>
            <w:r>
              <w:rPr>
                <w:rFonts w:ascii="Arial Narrow" w:hAnsi="Arial Narrow"/>
                <w:b/>
                <w:i/>
                <w:sz w:val="20"/>
                <w:szCs w:val="20"/>
                <w:lang w:val="en-GB"/>
              </w:rPr>
              <w:t>R</w:t>
            </w:r>
            <w:r w:rsidRPr="00F85A6C">
              <w:rPr>
                <w:rFonts w:ascii="Arial Narrow" w:hAnsi="Arial Narrow"/>
                <w:b/>
                <w:i/>
                <w:sz w:val="20"/>
                <w:szCs w:val="20"/>
                <w:lang w:val="en-GB"/>
              </w:rPr>
              <w:t xml:space="preserve">esponse sent by </w:t>
            </w:r>
            <w:r w:rsidR="007462E4">
              <w:rPr>
                <w:rFonts w:ascii="Arial Narrow" w:hAnsi="Arial Narrow"/>
                <w:b/>
                <w:i/>
                <w:sz w:val="20"/>
                <w:szCs w:val="20"/>
                <w:lang w:val="en-GB"/>
              </w:rPr>
              <w:t>EASA</w:t>
            </w:r>
          </w:p>
        </w:tc>
      </w:tr>
      <w:tr w:rsidR="002D2DAD" w:rsidRPr="00AB7952" w:rsidTr="0090058C">
        <w:trPr>
          <w:jc w:val="center"/>
        </w:trPr>
        <w:tc>
          <w:tcPr>
            <w:tcW w:w="8930" w:type="dxa"/>
          </w:tcPr>
          <w:p w:rsidR="002D2DAD" w:rsidRDefault="002D2DAD" w:rsidP="00AC32DA">
            <w:pPr>
              <w:ind w:left="284"/>
              <w:jc w:val="both"/>
              <w:rPr>
                <w:rFonts w:ascii="Arial Narrow" w:hAnsi="Arial Narrow"/>
                <w:sz w:val="20"/>
                <w:szCs w:val="20"/>
                <w:lang w:val="en-GB"/>
              </w:rPr>
            </w:pPr>
            <w:r>
              <w:rPr>
                <w:rFonts w:ascii="Arial Narrow" w:hAnsi="Arial Narrow"/>
                <w:sz w:val="20"/>
                <w:szCs w:val="20"/>
                <w:lang w:val="en-GB"/>
              </w:rPr>
              <w:t>None.</w:t>
            </w:r>
          </w:p>
          <w:p w:rsidR="00D76373" w:rsidRPr="00AB7952" w:rsidRDefault="00D76373" w:rsidP="00AC32DA">
            <w:pPr>
              <w:ind w:left="284"/>
              <w:jc w:val="both"/>
              <w:rPr>
                <w:rFonts w:ascii="Arial Narrow" w:hAnsi="Arial Narrow"/>
                <w:sz w:val="20"/>
                <w:szCs w:val="20"/>
                <w:lang w:val="en-GB"/>
              </w:rPr>
            </w:pPr>
          </w:p>
        </w:tc>
      </w:tr>
      <w:tr w:rsidR="002D2DAD" w:rsidRPr="00C55DD1" w:rsidTr="0090058C">
        <w:trPr>
          <w:jc w:val="center"/>
        </w:trPr>
        <w:tc>
          <w:tcPr>
            <w:tcW w:w="8930" w:type="dxa"/>
            <w:shd w:val="clear" w:color="auto" w:fill="A6A6A6" w:themeFill="background1" w:themeFillShade="A6"/>
          </w:tcPr>
          <w:p w:rsidR="002D2DAD" w:rsidRPr="00F85A6C" w:rsidRDefault="002D2DAD" w:rsidP="00443B7D">
            <w:pPr>
              <w:jc w:val="both"/>
              <w:rPr>
                <w:rFonts w:ascii="Arial Narrow" w:hAnsi="Arial Narrow"/>
                <w:b/>
                <w:i/>
                <w:sz w:val="20"/>
                <w:szCs w:val="20"/>
                <w:lang w:val="en-GB"/>
              </w:rPr>
            </w:pPr>
            <w:r w:rsidRPr="00F85A6C">
              <w:rPr>
                <w:rFonts w:ascii="Arial Narrow" w:hAnsi="Arial Narrow"/>
                <w:b/>
                <w:i/>
                <w:sz w:val="20"/>
                <w:szCs w:val="20"/>
                <w:lang w:val="en-GB"/>
              </w:rPr>
              <w:t xml:space="preserve">BEA’s assessment of the response </w:t>
            </w:r>
          </w:p>
        </w:tc>
      </w:tr>
      <w:tr w:rsidR="002D2DAD" w:rsidRPr="00AB7952" w:rsidTr="0090058C">
        <w:trPr>
          <w:jc w:val="center"/>
        </w:trPr>
        <w:tc>
          <w:tcPr>
            <w:tcW w:w="8930" w:type="dxa"/>
          </w:tcPr>
          <w:p w:rsidR="002D2DAD" w:rsidRDefault="002D2DAD" w:rsidP="00443B7D">
            <w:pPr>
              <w:ind w:left="284"/>
              <w:jc w:val="both"/>
              <w:rPr>
                <w:rFonts w:ascii="Arial Narrow" w:hAnsi="Arial Narrow"/>
                <w:sz w:val="20"/>
                <w:szCs w:val="20"/>
                <w:lang w:val="en-GB"/>
              </w:rPr>
            </w:pPr>
            <w:r>
              <w:rPr>
                <w:rFonts w:ascii="Arial Narrow" w:hAnsi="Arial Narrow"/>
                <w:sz w:val="20"/>
                <w:szCs w:val="20"/>
                <w:lang w:val="en-GB"/>
              </w:rPr>
              <w:t>N/A</w:t>
            </w:r>
          </w:p>
          <w:p w:rsidR="00D76373" w:rsidRDefault="00D76373" w:rsidP="00443B7D">
            <w:pPr>
              <w:ind w:left="284"/>
              <w:jc w:val="both"/>
              <w:rPr>
                <w:rFonts w:ascii="Arial Narrow" w:hAnsi="Arial Narrow"/>
                <w:sz w:val="20"/>
                <w:szCs w:val="20"/>
                <w:lang w:val="en-GB"/>
              </w:rPr>
            </w:pPr>
          </w:p>
        </w:tc>
      </w:tr>
    </w:tbl>
    <w:p w:rsidR="002D2DAD" w:rsidRDefault="002D2DAD" w:rsidP="00B34F1E">
      <w:pPr>
        <w:jc w:val="both"/>
        <w:rPr>
          <w:lang w:val="en-GB"/>
        </w:rPr>
      </w:pPr>
    </w:p>
    <w:tbl>
      <w:tblPr>
        <w:tblStyle w:val="Grilledutableau"/>
        <w:tblW w:w="8930" w:type="dxa"/>
        <w:jc w:val="center"/>
        <w:tblInd w:w="959" w:type="dxa"/>
        <w:tblLook w:val="04A0" w:firstRow="1" w:lastRow="0" w:firstColumn="1" w:lastColumn="0" w:noHBand="0" w:noVBand="1"/>
      </w:tblPr>
      <w:tblGrid>
        <w:gridCol w:w="8930"/>
      </w:tblGrid>
      <w:tr w:rsidR="00E4234D" w:rsidRPr="00C55DD1" w:rsidTr="0090058C">
        <w:trPr>
          <w:jc w:val="center"/>
        </w:trPr>
        <w:tc>
          <w:tcPr>
            <w:tcW w:w="8930" w:type="dxa"/>
            <w:shd w:val="clear" w:color="auto" w:fill="A6A6A6" w:themeFill="background1" w:themeFillShade="A6"/>
          </w:tcPr>
          <w:p w:rsidR="00E4234D" w:rsidRPr="00F85A6C" w:rsidRDefault="00E4234D" w:rsidP="00E4234D">
            <w:pPr>
              <w:jc w:val="both"/>
              <w:rPr>
                <w:rFonts w:ascii="Arial Narrow" w:hAnsi="Arial Narrow"/>
                <w:b/>
                <w:sz w:val="20"/>
                <w:szCs w:val="20"/>
                <w:lang w:val="en-GB"/>
              </w:rPr>
            </w:pPr>
            <w:r>
              <w:rPr>
                <w:rFonts w:ascii="Arial Narrow" w:hAnsi="Arial Narrow"/>
                <w:b/>
                <w:sz w:val="20"/>
                <w:szCs w:val="20"/>
                <w:lang w:val="en-GB"/>
              </w:rPr>
              <w:t xml:space="preserve">BEA </w:t>
            </w:r>
            <w:r w:rsidRPr="00F85A6C">
              <w:rPr>
                <w:rFonts w:ascii="Arial Narrow" w:hAnsi="Arial Narrow"/>
                <w:b/>
                <w:sz w:val="20"/>
                <w:szCs w:val="20"/>
                <w:lang w:val="en-GB"/>
              </w:rPr>
              <w:t>Safety recommendation FRAN-2016-01</w:t>
            </w:r>
            <w:r>
              <w:rPr>
                <w:rFonts w:ascii="Arial Narrow" w:hAnsi="Arial Narrow"/>
                <w:b/>
                <w:sz w:val="20"/>
                <w:szCs w:val="20"/>
                <w:lang w:val="en-GB"/>
              </w:rPr>
              <w:t>5</w:t>
            </w:r>
            <w:r w:rsidRPr="00F85A6C">
              <w:rPr>
                <w:rFonts w:ascii="Arial Narrow" w:hAnsi="Arial Narrow"/>
                <w:b/>
                <w:sz w:val="20"/>
                <w:szCs w:val="20"/>
                <w:lang w:val="en-GB"/>
              </w:rPr>
              <w:t xml:space="preserve"> issued on 15 March 2016</w:t>
            </w:r>
          </w:p>
        </w:tc>
      </w:tr>
      <w:tr w:rsidR="00E4234D" w:rsidRPr="00C55DD1" w:rsidTr="0090058C">
        <w:trPr>
          <w:jc w:val="center"/>
        </w:trPr>
        <w:tc>
          <w:tcPr>
            <w:tcW w:w="8930" w:type="dxa"/>
          </w:tcPr>
          <w:p w:rsidR="00E4234D" w:rsidRDefault="00E4234D" w:rsidP="00E4234D">
            <w:pPr>
              <w:ind w:left="284"/>
              <w:jc w:val="both"/>
              <w:rPr>
                <w:rFonts w:ascii="Arial Narrow" w:hAnsi="Arial Narrow"/>
                <w:sz w:val="20"/>
                <w:szCs w:val="20"/>
                <w:lang w:val="en-GB"/>
              </w:rPr>
            </w:pPr>
            <w:r w:rsidRPr="00E4234D">
              <w:rPr>
                <w:rFonts w:ascii="Arial Narrow" w:hAnsi="Arial Narrow"/>
                <w:b/>
                <w:sz w:val="20"/>
                <w:szCs w:val="20"/>
                <w:lang w:val="en-GB"/>
              </w:rPr>
              <w:t xml:space="preserve">IATA </w:t>
            </w:r>
            <w:r w:rsidRPr="00E4234D">
              <w:rPr>
                <w:rFonts w:ascii="Arial Narrow" w:hAnsi="Arial Narrow"/>
                <w:sz w:val="20"/>
                <w:szCs w:val="20"/>
                <w:lang w:val="en-GB"/>
              </w:rPr>
              <w:t>encourage its Member Airlines to implement measures to mitigate</w:t>
            </w:r>
            <w:r>
              <w:rPr>
                <w:rFonts w:ascii="Arial Narrow" w:hAnsi="Arial Narrow"/>
                <w:sz w:val="20"/>
                <w:szCs w:val="20"/>
                <w:lang w:val="en-GB"/>
              </w:rPr>
              <w:t xml:space="preserve"> </w:t>
            </w:r>
            <w:r w:rsidRPr="00E4234D">
              <w:rPr>
                <w:rFonts w:ascii="Arial Narrow" w:hAnsi="Arial Narrow"/>
                <w:sz w:val="20"/>
                <w:szCs w:val="20"/>
                <w:lang w:val="en-GB"/>
              </w:rPr>
              <w:t>the socio-economic risks related to pilots’ loss of licence for medical</w:t>
            </w:r>
            <w:r>
              <w:rPr>
                <w:rFonts w:ascii="Arial Narrow" w:hAnsi="Arial Narrow"/>
                <w:sz w:val="20"/>
                <w:szCs w:val="20"/>
                <w:lang w:val="en-GB"/>
              </w:rPr>
              <w:t xml:space="preserve"> </w:t>
            </w:r>
            <w:r w:rsidRPr="00E4234D">
              <w:rPr>
                <w:rFonts w:ascii="Arial Narrow" w:hAnsi="Arial Narrow"/>
                <w:sz w:val="20"/>
                <w:szCs w:val="20"/>
                <w:lang w:val="en-GB"/>
              </w:rPr>
              <w:t>reasons.</w:t>
            </w:r>
          </w:p>
          <w:p w:rsidR="00D76373" w:rsidRPr="00E4234D" w:rsidRDefault="00D76373" w:rsidP="00E4234D">
            <w:pPr>
              <w:ind w:left="284"/>
              <w:jc w:val="both"/>
              <w:rPr>
                <w:rFonts w:ascii="Arial Narrow" w:hAnsi="Arial Narrow"/>
                <w:sz w:val="20"/>
                <w:szCs w:val="20"/>
                <w:lang w:val="en-US"/>
              </w:rPr>
            </w:pPr>
          </w:p>
        </w:tc>
      </w:tr>
      <w:tr w:rsidR="00E4234D" w:rsidRPr="00C55DD1" w:rsidTr="0090058C">
        <w:trPr>
          <w:jc w:val="center"/>
        </w:trPr>
        <w:tc>
          <w:tcPr>
            <w:tcW w:w="8930" w:type="dxa"/>
            <w:shd w:val="clear" w:color="auto" w:fill="A6A6A6" w:themeFill="background1" w:themeFillShade="A6"/>
          </w:tcPr>
          <w:p w:rsidR="00E4234D" w:rsidRPr="00F85A6C" w:rsidRDefault="00E4234D" w:rsidP="00E4234D">
            <w:pPr>
              <w:jc w:val="both"/>
              <w:rPr>
                <w:rFonts w:ascii="Arial Narrow" w:hAnsi="Arial Narrow"/>
                <w:b/>
                <w:i/>
                <w:sz w:val="20"/>
                <w:szCs w:val="20"/>
                <w:lang w:val="en-GB"/>
              </w:rPr>
            </w:pPr>
            <w:r>
              <w:rPr>
                <w:rFonts w:ascii="Arial Narrow" w:hAnsi="Arial Narrow"/>
                <w:b/>
                <w:i/>
                <w:sz w:val="20"/>
                <w:szCs w:val="20"/>
                <w:lang w:val="en-GB"/>
              </w:rPr>
              <w:lastRenderedPageBreak/>
              <w:t>Summary of the r</w:t>
            </w:r>
            <w:r w:rsidRPr="00F85A6C">
              <w:rPr>
                <w:rFonts w:ascii="Arial Narrow" w:hAnsi="Arial Narrow"/>
                <w:b/>
                <w:i/>
                <w:sz w:val="20"/>
                <w:szCs w:val="20"/>
                <w:lang w:val="en-GB"/>
              </w:rPr>
              <w:t xml:space="preserve">esponse sent by the </w:t>
            </w:r>
            <w:r>
              <w:rPr>
                <w:rFonts w:ascii="Arial Narrow" w:hAnsi="Arial Narrow"/>
                <w:b/>
                <w:i/>
                <w:sz w:val="20"/>
                <w:szCs w:val="20"/>
                <w:lang w:val="en-GB"/>
              </w:rPr>
              <w:t>IATA sent on 15 June 2016</w:t>
            </w:r>
          </w:p>
        </w:tc>
      </w:tr>
      <w:tr w:rsidR="00E4234D" w:rsidRPr="00C55DD1" w:rsidTr="0090058C">
        <w:trPr>
          <w:jc w:val="center"/>
        </w:trPr>
        <w:tc>
          <w:tcPr>
            <w:tcW w:w="8930" w:type="dxa"/>
          </w:tcPr>
          <w:p w:rsidR="00E4234D" w:rsidRDefault="003B1798" w:rsidP="003B1798">
            <w:pPr>
              <w:ind w:left="284"/>
              <w:jc w:val="both"/>
              <w:rPr>
                <w:rFonts w:ascii="Arial Narrow" w:hAnsi="Arial Narrow"/>
                <w:sz w:val="20"/>
                <w:szCs w:val="20"/>
                <w:lang w:val="en-GB"/>
              </w:rPr>
            </w:pPr>
            <w:r>
              <w:rPr>
                <w:rFonts w:ascii="Arial Narrow" w:hAnsi="Arial Narrow"/>
                <w:sz w:val="20"/>
                <w:szCs w:val="20"/>
                <w:lang w:val="en-GB"/>
              </w:rPr>
              <w:t>“</w:t>
            </w:r>
            <w:proofErr w:type="spellStart"/>
            <w:r w:rsidRPr="003B1798">
              <w:rPr>
                <w:rFonts w:ascii="Arial Narrow" w:hAnsi="Arial Narrow"/>
                <w:sz w:val="20"/>
                <w:szCs w:val="20"/>
                <w:lang w:val="en-GB"/>
              </w:rPr>
              <w:t>lATA</w:t>
            </w:r>
            <w:proofErr w:type="spellEnd"/>
            <w:r w:rsidRPr="003B1798">
              <w:rPr>
                <w:rFonts w:ascii="Arial Narrow" w:hAnsi="Arial Narrow"/>
                <w:sz w:val="20"/>
                <w:szCs w:val="20"/>
                <w:lang w:val="en-GB"/>
              </w:rPr>
              <w:t xml:space="preserve"> and i</w:t>
            </w:r>
            <w:r>
              <w:rPr>
                <w:rFonts w:ascii="Arial Narrow" w:hAnsi="Arial Narrow"/>
                <w:sz w:val="20"/>
                <w:szCs w:val="20"/>
                <w:lang w:val="en-GB"/>
              </w:rPr>
              <w:t>ts member airlines work with all</w:t>
            </w:r>
            <w:r w:rsidRPr="003B1798">
              <w:rPr>
                <w:rFonts w:ascii="Arial Narrow" w:hAnsi="Arial Narrow"/>
                <w:sz w:val="20"/>
                <w:szCs w:val="20"/>
                <w:lang w:val="en-GB"/>
              </w:rPr>
              <w:t xml:space="preserve"> tools at their disposal to prevent any accident</w:t>
            </w:r>
            <w:r>
              <w:rPr>
                <w:rFonts w:ascii="Arial Narrow" w:hAnsi="Arial Narrow"/>
                <w:sz w:val="20"/>
                <w:szCs w:val="20"/>
                <w:lang w:val="en-GB"/>
              </w:rPr>
              <w:t xml:space="preserve"> </w:t>
            </w:r>
            <w:r w:rsidRPr="003B1798">
              <w:rPr>
                <w:rFonts w:ascii="Arial Narrow" w:hAnsi="Arial Narrow"/>
                <w:sz w:val="20"/>
                <w:szCs w:val="20"/>
                <w:lang w:val="en-GB"/>
              </w:rPr>
              <w:t>from occurring. With specific relation to this tragedy, IATA will undertake a review of its</w:t>
            </w:r>
            <w:r>
              <w:rPr>
                <w:rFonts w:ascii="Arial Narrow" w:hAnsi="Arial Narrow"/>
                <w:sz w:val="20"/>
                <w:szCs w:val="20"/>
                <w:lang w:val="en-GB"/>
              </w:rPr>
              <w:t xml:space="preserve"> </w:t>
            </w:r>
            <w:r w:rsidRPr="003B1798">
              <w:rPr>
                <w:rFonts w:ascii="Arial Narrow" w:hAnsi="Arial Narrow"/>
                <w:sz w:val="20"/>
                <w:szCs w:val="20"/>
                <w:lang w:val="en-GB"/>
              </w:rPr>
              <w:t>Safety Management System guidance to determine if any related materials might be</w:t>
            </w:r>
            <w:r>
              <w:rPr>
                <w:rFonts w:ascii="Arial Narrow" w:hAnsi="Arial Narrow"/>
                <w:sz w:val="20"/>
                <w:szCs w:val="20"/>
                <w:lang w:val="en-GB"/>
              </w:rPr>
              <w:t xml:space="preserve"> </w:t>
            </w:r>
            <w:r w:rsidRPr="003B1798">
              <w:rPr>
                <w:rFonts w:ascii="Arial Narrow" w:hAnsi="Arial Narrow"/>
                <w:sz w:val="20"/>
                <w:szCs w:val="20"/>
                <w:lang w:val="en-GB"/>
              </w:rPr>
              <w:t>strengthened or improved. Additionally, any recommended implementation of new best</w:t>
            </w:r>
            <w:r>
              <w:rPr>
                <w:rFonts w:ascii="Arial Narrow" w:hAnsi="Arial Narrow"/>
                <w:sz w:val="20"/>
                <w:szCs w:val="20"/>
                <w:lang w:val="en-GB"/>
              </w:rPr>
              <w:t xml:space="preserve"> </w:t>
            </w:r>
            <w:r w:rsidRPr="003B1798">
              <w:rPr>
                <w:rFonts w:ascii="Arial Narrow" w:hAnsi="Arial Narrow"/>
                <w:sz w:val="20"/>
                <w:szCs w:val="20"/>
                <w:lang w:val="en-GB"/>
              </w:rPr>
              <w:t>practices that may be identified, or lessons learned in the area of risk management</w:t>
            </w:r>
            <w:r>
              <w:rPr>
                <w:rFonts w:ascii="Arial Narrow" w:hAnsi="Arial Narrow"/>
                <w:sz w:val="20"/>
                <w:szCs w:val="20"/>
                <w:lang w:val="en-GB"/>
              </w:rPr>
              <w:t xml:space="preserve"> </w:t>
            </w:r>
            <w:r w:rsidRPr="003B1798">
              <w:rPr>
                <w:rFonts w:ascii="Arial Narrow" w:hAnsi="Arial Narrow"/>
                <w:sz w:val="20"/>
                <w:szCs w:val="20"/>
                <w:lang w:val="en-GB"/>
              </w:rPr>
              <w:t>appertaining to pilot mental disorders, will be addressed.</w:t>
            </w:r>
            <w:r>
              <w:rPr>
                <w:rFonts w:ascii="Arial Narrow" w:hAnsi="Arial Narrow"/>
                <w:sz w:val="20"/>
                <w:szCs w:val="20"/>
                <w:lang w:val="en-GB"/>
              </w:rPr>
              <w:t xml:space="preserve"> </w:t>
            </w:r>
            <w:proofErr w:type="spellStart"/>
            <w:r w:rsidRPr="003B1798">
              <w:rPr>
                <w:rFonts w:ascii="Arial Narrow" w:hAnsi="Arial Narrow"/>
                <w:sz w:val="20"/>
                <w:szCs w:val="20"/>
                <w:lang w:val="en-GB"/>
              </w:rPr>
              <w:t>lATA</w:t>
            </w:r>
            <w:proofErr w:type="spellEnd"/>
            <w:r w:rsidRPr="003B1798">
              <w:rPr>
                <w:rFonts w:ascii="Arial Narrow" w:hAnsi="Arial Narrow"/>
                <w:sz w:val="20"/>
                <w:szCs w:val="20"/>
                <w:lang w:val="en-GB"/>
              </w:rPr>
              <w:t xml:space="preserve"> believes that loss of license insurance for pilots is a matter of </w:t>
            </w:r>
            <w:proofErr w:type="spellStart"/>
            <w:r w:rsidRPr="003B1798">
              <w:rPr>
                <w:rFonts w:ascii="Arial Narrow" w:hAnsi="Arial Narrow"/>
                <w:sz w:val="20"/>
                <w:szCs w:val="20"/>
                <w:lang w:val="en-GB"/>
              </w:rPr>
              <w:t>labor</w:t>
            </w:r>
            <w:proofErr w:type="spellEnd"/>
            <w:r w:rsidRPr="003B1798">
              <w:rPr>
                <w:rFonts w:ascii="Arial Narrow" w:hAnsi="Arial Narrow"/>
                <w:sz w:val="20"/>
                <w:szCs w:val="20"/>
                <w:lang w:val="en-GB"/>
              </w:rPr>
              <w:t xml:space="preserve"> negotiation</w:t>
            </w:r>
            <w:r>
              <w:rPr>
                <w:rFonts w:ascii="Arial Narrow" w:hAnsi="Arial Narrow"/>
                <w:sz w:val="20"/>
                <w:szCs w:val="20"/>
                <w:lang w:val="en-GB"/>
              </w:rPr>
              <w:t xml:space="preserve"> </w:t>
            </w:r>
            <w:r w:rsidRPr="003B1798">
              <w:rPr>
                <w:rFonts w:ascii="Arial Narrow" w:hAnsi="Arial Narrow"/>
                <w:sz w:val="20"/>
                <w:szCs w:val="20"/>
                <w:lang w:val="en-GB"/>
              </w:rPr>
              <w:t>between employers and the employees or the unions; it is frequently regulated by national</w:t>
            </w:r>
            <w:r>
              <w:rPr>
                <w:rFonts w:ascii="Arial Narrow" w:hAnsi="Arial Narrow"/>
                <w:sz w:val="20"/>
                <w:szCs w:val="20"/>
                <w:lang w:val="en-GB"/>
              </w:rPr>
              <w:t xml:space="preserve"> </w:t>
            </w:r>
            <w:proofErr w:type="spellStart"/>
            <w:r w:rsidRPr="003B1798">
              <w:rPr>
                <w:rFonts w:ascii="Arial Narrow" w:hAnsi="Arial Narrow"/>
                <w:sz w:val="20"/>
                <w:szCs w:val="20"/>
                <w:lang w:val="en-GB"/>
              </w:rPr>
              <w:t>labor</w:t>
            </w:r>
            <w:proofErr w:type="spellEnd"/>
            <w:r w:rsidRPr="003B1798">
              <w:rPr>
                <w:rFonts w:ascii="Arial Narrow" w:hAnsi="Arial Narrow"/>
                <w:sz w:val="20"/>
                <w:szCs w:val="20"/>
                <w:lang w:val="en-GB"/>
              </w:rPr>
              <w:t xml:space="preserve"> laws. The IATA mandate and scope does not include any involvement in such matters.</w:t>
            </w:r>
            <w:r>
              <w:rPr>
                <w:rFonts w:ascii="Arial Narrow" w:hAnsi="Arial Narrow"/>
                <w:sz w:val="20"/>
                <w:szCs w:val="20"/>
                <w:lang w:val="en-GB"/>
              </w:rPr>
              <w:t xml:space="preserve"> </w:t>
            </w:r>
            <w:r w:rsidRPr="003B1798">
              <w:rPr>
                <w:rFonts w:ascii="Arial Narrow" w:hAnsi="Arial Narrow"/>
                <w:sz w:val="20"/>
                <w:szCs w:val="20"/>
                <w:lang w:val="en-GB"/>
              </w:rPr>
              <w:t>However, IATA proposes to recommend to its member airlines the need to inform and</w:t>
            </w:r>
            <w:r>
              <w:rPr>
                <w:rFonts w:ascii="Arial Narrow" w:hAnsi="Arial Narrow"/>
                <w:sz w:val="20"/>
                <w:szCs w:val="20"/>
                <w:lang w:val="en-GB"/>
              </w:rPr>
              <w:t xml:space="preserve"> </w:t>
            </w:r>
            <w:r w:rsidRPr="003B1798">
              <w:rPr>
                <w:rFonts w:ascii="Arial Narrow" w:hAnsi="Arial Narrow"/>
                <w:sz w:val="20"/>
                <w:szCs w:val="20"/>
                <w:lang w:val="en-GB"/>
              </w:rPr>
              <w:t>provide guidance to their pilots with regard to the possible effects of the loss of ability to</w:t>
            </w:r>
            <w:r>
              <w:rPr>
                <w:rFonts w:ascii="Arial Narrow" w:hAnsi="Arial Narrow"/>
                <w:sz w:val="20"/>
                <w:szCs w:val="20"/>
                <w:lang w:val="en-GB"/>
              </w:rPr>
              <w:t xml:space="preserve"> </w:t>
            </w:r>
            <w:r w:rsidRPr="003B1798">
              <w:rPr>
                <w:rFonts w:ascii="Arial Narrow" w:hAnsi="Arial Narrow"/>
                <w:sz w:val="20"/>
                <w:szCs w:val="20"/>
                <w:lang w:val="en-GB"/>
              </w:rPr>
              <w:t>operate as a pilot for any reason. This guidance should also include explanations of the</w:t>
            </w:r>
            <w:r>
              <w:rPr>
                <w:rFonts w:ascii="Arial Narrow" w:hAnsi="Arial Narrow"/>
                <w:sz w:val="20"/>
                <w:szCs w:val="20"/>
                <w:lang w:val="en-GB"/>
              </w:rPr>
              <w:t xml:space="preserve"> </w:t>
            </w:r>
            <w:r w:rsidRPr="003B1798">
              <w:rPr>
                <w:rFonts w:ascii="Arial Narrow" w:hAnsi="Arial Narrow"/>
                <w:sz w:val="20"/>
                <w:szCs w:val="20"/>
                <w:lang w:val="en-GB"/>
              </w:rPr>
              <w:t>options available to pilots seeking the best available protection from the consequences of</w:t>
            </w:r>
            <w:r>
              <w:rPr>
                <w:rFonts w:ascii="Arial Narrow" w:hAnsi="Arial Narrow"/>
                <w:sz w:val="20"/>
                <w:szCs w:val="20"/>
                <w:lang w:val="en-GB"/>
              </w:rPr>
              <w:t xml:space="preserve"> </w:t>
            </w:r>
            <w:r w:rsidRPr="003B1798">
              <w:rPr>
                <w:rFonts w:ascii="Arial Narrow" w:hAnsi="Arial Narrow"/>
                <w:sz w:val="20"/>
                <w:szCs w:val="20"/>
                <w:lang w:val="en-GB"/>
              </w:rPr>
              <w:t>the loss of their license for medical reasons.</w:t>
            </w:r>
            <w:r>
              <w:rPr>
                <w:rFonts w:ascii="Arial Narrow" w:hAnsi="Arial Narrow"/>
                <w:sz w:val="20"/>
                <w:szCs w:val="20"/>
                <w:lang w:val="en-GB"/>
              </w:rPr>
              <w:t>”</w:t>
            </w:r>
          </w:p>
          <w:p w:rsidR="00D76373" w:rsidRPr="00AB7952" w:rsidRDefault="00D76373" w:rsidP="003B1798">
            <w:pPr>
              <w:ind w:left="284"/>
              <w:jc w:val="both"/>
              <w:rPr>
                <w:rFonts w:ascii="Arial Narrow" w:hAnsi="Arial Narrow"/>
                <w:sz w:val="20"/>
                <w:szCs w:val="20"/>
                <w:lang w:val="en-GB"/>
              </w:rPr>
            </w:pPr>
          </w:p>
        </w:tc>
      </w:tr>
      <w:tr w:rsidR="00E4234D" w:rsidRPr="00C55DD1" w:rsidTr="0090058C">
        <w:trPr>
          <w:jc w:val="center"/>
        </w:trPr>
        <w:tc>
          <w:tcPr>
            <w:tcW w:w="8930" w:type="dxa"/>
            <w:shd w:val="clear" w:color="auto" w:fill="A6A6A6" w:themeFill="background1" w:themeFillShade="A6"/>
          </w:tcPr>
          <w:p w:rsidR="00E4234D" w:rsidRPr="00F85A6C" w:rsidRDefault="00E4234D" w:rsidP="00443B7D">
            <w:pPr>
              <w:jc w:val="both"/>
              <w:rPr>
                <w:rFonts w:ascii="Arial Narrow" w:hAnsi="Arial Narrow"/>
                <w:b/>
                <w:i/>
                <w:sz w:val="20"/>
                <w:szCs w:val="20"/>
                <w:lang w:val="en-GB"/>
              </w:rPr>
            </w:pPr>
            <w:r w:rsidRPr="00F85A6C">
              <w:rPr>
                <w:rFonts w:ascii="Arial Narrow" w:hAnsi="Arial Narrow"/>
                <w:b/>
                <w:i/>
                <w:sz w:val="20"/>
                <w:szCs w:val="20"/>
                <w:lang w:val="en-GB"/>
              </w:rPr>
              <w:t xml:space="preserve">BEA’s assessment of the response </w:t>
            </w:r>
            <w:r w:rsidR="003B1798">
              <w:rPr>
                <w:rFonts w:ascii="Arial Narrow" w:hAnsi="Arial Narrow"/>
                <w:b/>
                <w:i/>
                <w:sz w:val="20"/>
                <w:szCs w:val="20"/>
                <w:lang w:val="en-GB"/>
              </w:rPr>
              <w:t>sent on 13 July 2016</w:t>
            </w:r>
          </w:p>
        </w:tc>
      </w:tr>
      <w:tr w:rsidR="00E4234D" w:rsidRPr="00C55DD1" w:rsidTr="0090058C">
        <w:trPr>
          <w:jc w:val="center"/>
        </w:trPr>
        <w:tc>
          <w:tcPr>
            <w:tcW w:w="8930" w:type="dxa"/>
          </w:tcPr>
          <w:p w:rsidR="003B1798" w:rsidRPr="003B1798" w:rsidRDefault="003B1798" w:rsidP="003B1798">
            <w:pPr>
              <w:ind w:left="284"/>
              <w:jc w:val="both"/>
              <w:rPr>
                <w:rFonts w:ascii="Arial Narrow" w:hAnsi="Arial Narrow"/>
                <w:sz w:val="20"/>
                <w:szCs w:val="20"/>
                <w:lang w:val="en-GB"/>
              </w:rPr>
            </w:pPr>
            <w:r w:rsidRPr="003B1798">
              <w:rPr>
                <w:rFonts w:ascii="Arial Narrow" w:hAnsi="Arial Narrow"/>
                <w:sz w:val="20"/>
                <w:szCs w:val="20"/>
                <w:lang w:val="en-GB"/>
              </w:rPr>
              <w:t xml:space="preserve">The BEA considers the IATA response as </w:t>
            </w:r>
            <w:r w:rsidRPr="003B1798">
              <w:rPr>
                <w:rFonts w:ascii="Arial Narrow" w:hAnsi="Arial Narrow"/>
                <w:b/>
                <w:sz w:val="20"/>
                <w:szCs w:val="20"/>
                <w:lang w:val="en-GB"/>
              </w:rPr>
              <w:t>partially adequate</w:t>
            </w:r>
            <w:r w:rsidRPr="003B1798">
              <w:rPr>
                <w:rFonts w:ascii="Arial Narrow" w:hAnsi="Arial Narrow"/>
                <w:sz w:val="20"/>
                <w:szCs w:val="20"/>
                <w:lang w:val="en-GB"/>
              </w:rPr>
              <w:t>.</w:t>
            </w:r>
          </w:p>
          <w:p w:rsidR="00E4234D" w:rsidRDefault="003B1798" w:rsidP="003B1798">
            <w:pPr>
              <w:ind w:left="284"/>
              <w:jc w:val="both"/>
              <w:rPr>
                <w:rFonts w:ascii="Arial Narrow" w:hAnsi="Arial Narrow"/>
                <w:sz w:val="20"/>
                <w:szCs w:val="20"/>
                <w:lang w:val="en-GB"/>
              </w:rPr>
            </w:pPr>
            <w:r w:rsidRPr="003B1798">
              <w:rPr>
                <w:rFonts w:ascii="Arial Narrow" w:hAnsi="Arial Narrow"/>
                <w:sz w:val="20"/>
                <w:szCs w:val="20"/>
                <w:lang w:val="en-GB"/>
              </w:rPr>
              <w:t>Although, the BEA recognises that loss of licence insurance matters</w:t>
            </w:r>
            <w:r>
              <w:rPr>
                <w:rFonts w:ascii="Arial Narrow" w:hAnsi="Arial Narrow"/>
                <w:sz w:val="20"/>
                <w:szCs w:val="20"/>
                <w:lang w:val="en-GB"/>
              </w:rPr>
              <w:t xml:space="preserve"> </w:t>
            </w:r>
            <w:r w:rsidRPr="003B1798">
              <w:rPr>
                <w:rFonts w:ascii="Arial Narrow" w:hAnsi="Arial Narrow"/>
                <w:sz w:val="20"/>
                <w:szCs w:val="20"/>
                <w:lang w:val="en-GB"/>
              </w:rPr>
              <w:t>may be affected by national labour laws and local social context, the</w:t>
            </w:r>
            <w:r>
              <w:rPr>
                <w:rFonts w:ascii="Arial Narrow" w:hAnsi="Arial Narrow"/>
                <w:sz w:val="20"/>
                <w:szCs w:val="20"/>
                <w:lang w:val="en-GB"/>
              </w:rPr>
              <w:t xml:space="preserve"> </w:t>
            </w:r>
            <w:r w:rsidRPr="003B1798">
              <w:rPr>
                <w:rFonts w:ascii="Arial Narrow" w:hAnsi="Arial Narrow"/>
                <w:sz w:val="20"/>
                <w:szCs w:val="20"/>
                <w:lang w:val="en-GB"/>
              </w:rPr>
              <w:t>BEA believes that this would not prevent IATA from having a role in</w:t>
            </w:r>
            <w:r>
              <w:rPr>
                <w:rFonts w:ascii="Arial Narrow" w:hAnsi="Arial Narrow"/>
                <w:sz w:val="20"/>
                <w:szCs w:val="20"/>
                <w:lang w:val="en-GB"/>
              </w:rPr>
              <w:t xml:space="preserve"> </w:t>
            </w:r>
            <w:r w:rsidRPr="003B1798">
              <w:rPr>
                <w:rFonts w:ascii="Arial Narrow" w:hAnsi="Arial Narrow"/>
                <w:sz w:val="20"/>
                <w:szCs w:val="20"/>
                <w:lang w:val="en-GB"/>
              </w:rPr>
              <w:t xml:space="preserve">promoting more proactive actions by its member airlines on </w:t>
            </w:r>
            <w:r>
              <w:rPr>
                <w:rFonts w:ascii="Arial Narrow" w:hAnsi="Arial Narrow"/>
                <w:sz w:val="20"/>
                <w:szCs w:val="20"/>
                <w:lang w:val="en-GB"/>
              </w:rPr>
              <w:t xml:space="preserve">these </w:t>
            </w:r>
            <w:r w:rsidRPr="003B1798">
              <w:rPr>
                <w:rFonts w:ascii="Arial Narrow" w:hAnsi="Arial Narrow"/>
                <w:sz w:val="20"/>
                <w:szCs w:val="20"/>
                <w:lang w:val="en-GB"/>
              </w:rPr>
              <w:t>matters.</w:t>
            </w:r>
          </w:p>
          <w:p w:rsidR="00D76373" w:rsidRDefault="00D76373" w:rsidP="003B1798">
            <w:pPr>
              <w:ind w:left="284"/>
              <w:jc w:val="both"/>
              <w:rPr>
                <w:rFonts w:ascii="Arial Narrow" w:hAnsi="Arial Narrow"/>
                <w:sz w:val="20"/>
                <w:szCs w:val="20"/>
                <w:lang w:val="en-GB"/>
              </w:rPr>
            </w:pPr>
          </w:p>
        </w:tc>
      </w:tr>
    </w:tbl>
    <w:p w:rsidR="00D76373" w:rsidRDefault="00D76373" w:rsidP="00B34F1E">
      <w:pPr>
        <w:jc w:val="both"/>
        <w:rPr>
          <w:lang w:val="en-US"/>
        </w:rPr>
      </w:pPr>
    </w:p>
    <w:p w:rsidR="00BD2421" w:rsidRPr="00BD2421" w:rsidRDefault="00BD2421" w:rsidP="00BD2421">
      <w:pPr>
        <w:jc w:val="both"/>
        <w:rPr>
          <w:lang w:val="en-US"/>
        </w:rPr>
      </w:pPr>
      <w:r w:rsidRPr="00BD2421">
        <w:rPr>
          <w:lang w:val="en-US"/>
        </w:rPr>
        <w:t xml:space="preserve">The status of these safety recommendations show that, although most stakeholders agree with the conclusions of the BEA, little or no actual progress has been made on these topics since the release of the Final Report. </w:t>
      </w:r>
    </w:p>
    <w:p w:rsidR="00BD2421" w:rsidRPr="00BD2421" w:rsidRDefault="00BD2421" w:rsidP="00BD2421">
      <w:pPr>
        <w:jc w:val="both"/>
        <w:rPr>
          <w:lang w:val="en-US"/>
        </w:rPr>
      </w:pPr>
      <w:r w:rsidRPr="00BD2421">
        <w:rPr>
          <w:lang w:val="en-US"/>
        </w:rPr>
        <w:t>This lack of progress may be partly explained by the fact that some of the safety recommendations were addressed to international organizations outside the European Union, like WHO and IATA. The provisions of Annex 13 apply to Contracting States; so technically, international or supranational organizations might not feel compelled to abide by the provisions of Annex 13.</w:t>
      </w:r>
    </w:p>
    <w:p w:rsidR="00BD2421" w:rsidRPr="00BD2421" w:rsidRDefault="00BD2421" w:rsidP="00BD2421">
      <w:pPr>
        <w:jc w:val="both"/>
        <w:rPr>
          <w:lang w:val="en-US"/>
        </w:rPr>
      </w:pPr>
      <w:r w:rsidRPr="00BD2421">
        <w:rPr>
          <w:lang w:val="en-US"/>
        </w:rPr>
        <w:t xml:space="preserve">More importantly, the delay in implementing the BEA safety recommendations is most probably due to the fact that they deal with broad issues, which go beyond the aviation community: medical confidentiality and mental health in the workplace touch upon core values of society and have various impacts on States’ cultural background. </w:t>
      </w:r>
    </w:p>
    <w:p w:rsidR="007C08EA" w:rsidRDefault="00BD2421" w:rsidP="00BD2421">
      <w:pPr>
        <w:jc w:val="both"/>
        <w:rPr>
          <w:lang w:val="en-US"/>
        </w:rPr>
      </w:pPr>
      <w:r w:rsidRPr="00BD2421">
        <w:rPr>
          <w:lang w:val="en-US"/>
        </w:rPr>
        <w:t>Medical confidentiality is a key principle in ensuring trust between doctors and patients. The fact that people are encouraged to seek advice and treatment, with the guarantee that their personal information will be kept confidential, benefits society as a whole as well as the individual. Trying to change current regulations and practices with the aim of improving air safety, might, if not established and implemented carefully, have adverse effects which negate the intended benefits. However, in the view of the BEA, these more challenging recommendations are the ones which are the most likely to really make a difference on the issues raised by the Germanwings accident. Implementing such recommendations is likely to raise objections from a number of interested parties, and requires a balanced and careful, but determined, action. One may raise the hypothesis that addressees of those more challenging recommendations have not found the energy required to overcome the foreseeable resistance to changes. Would an event similar to the Germanwings accident trigger actions, just like a second loss of an aircraft at sea did on the issue of tracking of an aircraft in distress? At least, it would probably fast-track on-going initiatives that BEA is not necessarily aware of.</w:t>
      </w:r>
      <w:bookmarkStart w:id="0" w:name="_GoBack"/>
      <w:bookmarkEnd w:id="0"/>
    </w:p>
    <w:p w:rsidR="007C08EA" w:rsidRPr="00E651C9" w:rsidRDefault="00E651C9" w:rsidP="00E651C9">
      <w:pPr>
        <w:pStyle w:val="Paragraphedeliste"/>
        <w:numPr>
          <w:ilvl w:val="0"/>
          <w:numId w:val="5"/>
        </w:numPr>
        <w:jc w:val="both"/>
        <w:rPr>
          <w:b/>
          <w:lang w:val="en-US"/>
        </w:rPr>
      </w:pPr>
      <w:r w:rsidRPr="00E651C9">
        <w:rPr>
          <w:b/>
          <w:lang w:val="en-US"/>
        </w:rPr>
        <w:lastRenderedPageBreak/>
        <w:t>Conclusion</w:t>
      </w:r>
    </w:p>
    <w:p w:rsidR="00BD2421" w:rsidRPr="00BD2421" w:rsidRDefault="00BD2421" w:rsidP="00BD2421">
      <w:pPr>
        <w:jc w:val="both"/>
        <w:rPr>
          <w:lang w:val="en-US"/>
        </w:rPr>
      </w:pPr>
      <w:r w:rsidRPr="00BD2421">
        <w:rPr>
          <w:lang w:val="en-US"/>
        </w:rPr>
        <w:t>The question raised is: how many events do we need to progress complex and challenging issues despite efforts from Accident Investigation Authorities (AIA) to ease the ICAO process and certification? Do the AIAs have sufficient representation at ICAO or enough of a voice to support the proposals for safety improvements?</w:t>
      </w:r>
    </w:p>
    <w:p w:rsidR="00482116" w:rsidRPr="00482116" w:rsidRDefault="00BD2421" w:rsidP="00BD2421">
      <w:pPr>
        <w:jc w:val="both"/>
        <w:rPr>
          <w:lang w:val="en-US"/>
        </w:rPr>
      </w:pPr>
      <w:r w:rsidRPr="00BD2421">
        <w:rPr>
          <w:lang w:val="en-US"/>
        </w:rPr>
        <w:t>One of the many reasons why aviation maintains a high level of safety is the willingness to learn important lessons from events with catastrophic consequences. It took two major fatal accidents at sea and substantial international efforts to introduce new provisions ensuring better localization of wreckage and recovery of flight recorder data. What will it take to introduce changes in the aeromedical field drawing the lessons from the Germanwings accident? Will this investigation be sufficient to make a difference or do we have to wait for another similar event to really make a difference?</w:t>
      </w:r>
    </w:p>
    <w:p w:rsidR="006B3E69" w:rsidRPr="00946221" w:rsidRDefault="006B3E69" w:rsidP="00F80C30">
      <w:pPr>
        <w:jc w:val="both"/>
      </w:pPr>
    </w:p>
    <w:sectPr w:rsidR="006B3E69" w:rsidRPr="00946221" w:rsidSect="0090058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E0" w:rsidRDefault="008D16E0" w:rsidP="000C3CE8">
      <w:pPr>
        <w:spacing w:after="0" w:line="240" w:lineRule="auto"/>
      </w:pPr>
      <w:r>
        <w:separator/>
      </w:r>
    </w:p>
  </w:endnote>
  <w:endnote w:type="continuationSeparator" w:id="0">
    <w:p w:rsidR="008D16E0" w:rsidRDefault="008D16E0" w:rsidP="000C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013091"/>
      <w:docPartObj>
        <w:docPartGallery w:val="Page Numbers (Bottom of Page)"/>
        <w:docPartUnique/>
      </w:docPartObj>
    </w:sdtPr>
    <w:sdtEndPr/>
    <w:sdtContent>
      <w:p w:rsidR="00F75447" w:rsidRDefault="00F75447">
        <w:pPr>
          <w:pStyle w:val="Pieddepage"/>
          <w:jc w:val="right"/>
        </w:pPr>
        <w:r>
          <w:fldChar w:fldCharType="begin"/>
        </w:r>
        <w:r>
          <w:instrText>PAGE   \* MERGEFORMAT</w:instrText>
        </w:r>
        <w:r>
          <w:fldChar w:fldCharType="separate"/>
        </w:r>
        <w:r w:rsidR="00BD2421">
          <w:rPr>
            <w:noProof/>
          </w:rPr>
          <w:t>4</w:t>
        </w:r>
        <w:r>
          <w:fldChar w:fldCharType="end"/>
        </w:r>
      </w:p>
    </w:sdtContent>
  </w:sdt>
  <w:p w:rsidR="00F75447" w:rsidRDefault="00F754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E0" w:rsidRDefault="008D16E0" w:rsidP="000C3CE8">
      <w:pPr>
        <w:spacing w:after="0" w:line="240" w:lineRule="auto"/>
      </w:pPr>
      <w:r>
        <w:separator/>
      </w:r>
    </w:p>
  </w:footnote>
  <w:footnote w:type="continuationSeparator" w:id="0">
    <w:p w:rsidR="008D16E0" w:rsidRDefault="008D16E0" w:rsidP="000C3CE8">
      <w:pPr>
        <w:spacing w:after="0" w:line="240" w:lineRule="auto"/>
      </w:pPr>
      <w:r>
        <w:continuationSeparator/>
      </w:r>
    </w:p>
  </w:footnote>
  <w:footnote w:id="1">
    <w:p w:rsidR="0082327F" w:rsidRPr="0032292F" w:rsidRDefault="0082327F">
      <w:pPr>
        <w:pStyle w:val="Notedebasdepage"/>
        <w:rPr>
          <w:lang w:val="en-US"/>
        </w:rPr>
      </w:pPr>
      <w:r>
        <w:rPr>
          <w:rStyle w:val="Appelnotedebasdep"/>
        </w:rPr>
        <w:footnoteRef/>
      </w:r>
      <w:r w:rsidRPr="0032292F">
        <w:rPr>
          <w:lang w:val="en-US"/>
        </w:rPr>
        <w:t xml:space="preserve"> 1 June 2009 </w:t>
      </w:r>
      <w:r w:rsidRPr="0032292F">
        <w:rPr>
          <w:rFonts w:ascii="Cambria Math" w:hAnsi="Cambria Math" w:cs="Cambria Math"/>
          <w:lang w:val="en-US"/>
        </w:rPr>
        <w:t>‐</w:t>
      </w:r>
      <w:r w:rsidRPr="0032292F">
        <w:rPr>
          <w:lang w:val="en-US"/>
        </w:rPr>
        <w:t xml:space="preserve"> Rio de Janeiro to Paris </w:t>
      </w:r>
      <w:r w:rsidRPr="0032292F">
        <w:rPr>
          <w:rFonts w:ascii="Cambria Math" w:hAnsi="Cambria Math" w:cs="Cambria Math"/>
          <w:lang w:val="en-US"/>
        </w:rPr>
        <w:t>‐</w:t>
      </w:r>
      <w:r w:rsidR="002D0346">
        <w:rPr>
          <w:lang w:val="en-US"/>
        </w:rPr>
        <w:t xml:space="preserve"> A</w:t>
      </w:r>
      <w:r w:rsidRPr="0032292F">
        <w:rPr>
          <w:lang w:val="en-US"/>
        </w:rPr>
        <w:t xml:space="preserve">330 </w:t>
      </w:r>
      <w:r w:rsidRPr="0032292F">
        <w:rPr>
          <w:rFonts w:ascii="Cambria Math" w:hAnsi="Cambria Math" w:cs="Cambria Math"/>
          <w:lang w:val="en-US"/>
        </w:rPr>
        <w:t>‐</w:t>
      </w:r>
      <w:r w:rsidRPr="0032292F">
        <w:rPr>
          <w:lang w:val="en-US"/>
        </w:rPr>
        <w:t xml:space="preserve"> F</w:t>
      </w:r>
      <w:r w:rsidRPr="0032292F">
        <w:rPr>
          <w:rFonts w:ascii="Cambria Math" w:hAnsi="Cambria Math" w:cs="Cambria Math"/>
          <w:lang w:val="en-US"/>
        </w:rPr>
        <w:t>‐</w:t>
      </w:r>
      <w:r w:rsidRPr="0032292F">
        <w:rPr>
          <w:lang w:val="en-US"/>
        </w:rPr>
        <w:t>GZCP</w:t>
      </w:r>
    </w:p>
  </w:footnote>
  <w:footnote w:id="2">
    <w:p w:rsidR="00AB7952" w:rsidRPr="00AB7952" w:rsidRDefault="00AB7952" w:rsidP="00AB7952">
      <w:pPr>
        <w:pStyle w:val="Pa16"/>
        <w:spacing w:after="100"/>
        <w:rPr>
          <w:rFonts w:cs="Myriad Pro"/>
          <w:color w:val="000000"/>
          <w:sz w:val="22"/>
          <w:szCs w:val="22"/>
          <w:lang w:val="en-US"/>
        </w:rPr>
      </w:pPr>
      <w:r>
        <w:rPr>
          <w:rStyle w:val="Appelnotedebasdep"/>
        </w:rPr>
        <w:footnoteRef/>
      </w:r>
      <w:r w:rsidRPr="00AB7952">
        <w:rPr>
          <w:lang w:val="en-US"/>
        </w:rPr>
        <w:t xml:space="preserve"> </w:t>
      </w:r>
      <w:r w:rsidRPr="00E651C9">
        <w:rPr>
          <w:rStyle w:val="A5"/>
          <w:rFonts w:ascii="Times New Roman" w:hAnsi="Times New Roman" w:cs="Times New Roman"/>
          <w:i w:val="0"/>
          <w:sz w:val="20"/>
          <w:szCs w:val="20"/>
          <w:lang w:val="en-US"/>
        </w:rPr>
        <w:t>Federal Ministry of Transport and Digital Infrastructure (</w:t>
      </w:r>
      <w:proofErr w:type="spellStart"/>
      <w:r w:rsidRPr="00E651C9">
        <w:rPr>
          <w:rStyle w:val="A5"/>
          <w:rFonts w:ascii="Times New Roman" w:hAnsi="Times New Roman" w:cs="Times New Roman"/>
          <w:i w:val="0"/>
          <w:sz w:val="20"/>
          <w:szCs w:val="20"/>
          <w:lang w:val="en-US"/>
        </w:rPr>
        <w:t>Bundesministeriums</w:t>
      </w:r>
      <w:proofErr w:type="spellEnd"/>
      <w:r w:rsidRPr="00E651C9">
        <w:rPr>
          <w:rStyle w:val="A5"/>
          <w:rFonts w:ascii="Times New Roman" w:hAnsi="Times New Roman" w:cs="Times New Roman"/>
          <w:i w:val="0"/>
          <w:sz w:val="20"/>
          <w:szCs w:val="20"/>
          <w:lang w:val="en-US"/>
        </w:rPr>
        <w:t xml:space="preserve"> </w:t>
      </w:r>
      <w:proofErr w:type="spellStart"/>
      <w:r w:rsidRPr="00E651C9">
        <w:rPr>
          <w:rStyle w:val="A5"/>
          <w:rFonts w:ascii="Times New Roman" w:hAnsi="Times New Roman" w:cs="Times New Roman"/>
          <w:i w:val="0"/>
          <w:sz w:val="20"/>
          <w:szCs w:val="20"/>
          <w:lang w:val="en-US"/>
        </w:rPr>
        <w:t>für</w:t>
      </w:r>
      <w:proofErr w:type="spellEnd"/>
      <w:r w:rsidRPr="00E651C9">
        <w:rPr>
          <w:rStyle w:val="A5"/>
          <w:rFonts w:ascii="Times New Roman" w:hAnsi="Times New Roman" w:cs="Times New Roman"/>
          <w:i w:val="0"/>
          <w:sz w:val="20"/>
          <w:szCs w:val="20"/>
          <w:lang w:val="en-US"/>
        </w:rPr>
        <w:t xml:space="preserve"> </w:t>
      </w:r>
      <w:proofErr w:type="spellStart"/>
      <w:r w:rsidRPr="00E651C9">
        <w:rPr>
          <w:rStyle w:val="A5"/>
          <w:rFonts w:ascii="Times New Roman" w:hAnsi="Times New Roman" w:cs="Times New Roman"/>
          <w:i w:val="0"/>
          <w:sz w:val="20"/>
          <w:szCs w:val="20"/>
          <w:lang w:val="en-US"/>
        </w:rPr>
        <w:t>Verkehr</w:t>
      </w:r>
      <w:proofErr w:type="spellEnd"/>
      <w:r w:rsidRPr="00E651C9">
        <w:rPr>
          <w:rStyle w:val="A5"/>
          <w:rFonts w:ascii="Times New Roman" w:hAnsi="Times New Roman" w:cs="Times New Roman"/>
          <w:i w:val="0"/>
          <w:sz w:val="20"/>
          <w:szCs w:val="20"/>
          <w:lang w:val="en-US"/>
        </w:rPr>
        <w:t xml:space="preserve"> und </w:t>
      </w:r>
      <w:proofErr w:type="spellStart"/>
      <w:r w:rsidRPr="00E651C9">
        <w:rPr>
          <w:rStyle w:val="A5"/>
          <w:rFonts w:ascii="Times New Roman" w:hAnsi="Times New Roman" w:cs="Times New Roman"/>
          <w:i w:val="0"/>
          <w:sz w:val="20"/>
          <w:szCs w:val="20"/>
          <w:lang w:val="en-US"/>
        </w:rPr>
        <w:t>digitale</w:t>
      </w:r>
      <w:proofErr w:type="spellEnd"/>
      <w:r w:rsidRPr="00E651C9">
        <w:rPr>
          <w:rStyle w:val="A5"/>
          <w:rFonts w:ascii="Times New Roman" w:hAnsi="Times New Roman" w:cs="Times New Roman"/>
          <w:i w:val="0"/>
          <w:sz w:val="20"/>
          <w:szCs w:val="20"/>
          <w:lang w:val="en-US"/>
        </w:rPr>
        <w:t xml:space="preserve"> </w:t>
      </w:r>
      <w:proofErr w:type="spellStart"/>
      <w:r w:rsidRPr="00E651C9">
        <w:rPr>
          <w:rStyle w:val="A5"/>
          <w:rFonts w:ascii="Times New Roman" w:hAnsi="Times New Roman" w:cs="Times New Roman"/>
          <w:i w:val="0"/>
          <w:sz w:val="20"/>
          <w:szCs w:val="20"/>
          <w:lang w:val="en-US"/>
        </w:rPr>
        <w:t>Infrastruktur</w:t>
      </w:r>
      <w:proofErr w:type="spellEnd"/>
      <w:r w:rsidRPr="00E651C9">
        <w:rPr>
          <w:rStyle w:val="A5"/>
          <w:rFonts w:ascii="Times New Roman" w:hAnsi="Times New Roman" w:cs="Times New Roman"/>
          <w:i w:val="0"/>
          <w:sz w:val="20"/>
          <w:szCs w:val="20"/>
          <w:lang w:val="en-US"/>
        </w:rPr>
        <w:t>)</w:t>
      </w:r>
      <w:r w:rsidRPr="00AB7952">
        <w:rPr>
          <w:rStyle w:val="A5"/>
          <w:lang w:val="en-US"/>
        </w:rPr>
        <w:t xml:space="preserve"> </w:t>
      </w:r>
    </w:p>
    <w:p w:rsidR="00AB7952" w:rsidRPr="00AB7952" w:rsidRDefault="00AB7952">
      <w:pPr>
        <w:pStyle w:val="Notedebasdepage"/>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20"/>
    <w:multiLevelType w:val="hybridMultilevel"/>
    <w:tmpl w:val="F97824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486B1D"/>
    <w:multiLevelType w:val="hybridMultilevel"/>
    <w:tmpl w:val="E6D07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BA7257"/>
    <w:multiLevelType w:val="hybridMultilevel"/>
    <w:tmpl w:val="A8403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1E0ADA"/>
    <w:multiLevelType w:val="hybridMultilevel"/>
    <w:tmpl w:val="DB8415C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67B13594"/>
    <w:multiLevelType w:val="hybridMultilevel"/>
    <w:tmpl w:val="F97824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AD03E52"/>
    <w:multiLevelType w:val="hybridMultilevel"/>
    <w:tmpl w:val="4746B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5A"/>
    <w:rsid w:val="00017F3D"/>
    <w:rsid w:val="0002777F"/>
    <w:rsid w:val="00032C38"/>
    <w:rsid w:val="0003736A"/>
    <w:rsid w:val="00044ECD"/>
    <w:rsid w:val="00061E5E"/>
    <w:rsid w:val="000665B1"/>
    <w:rsid w:val="00087782"/>
    <w:rsid w:val="00094923"/>
    <w:rsid w:val="000A245A"/>
    <w:rsid w:val="000A3600"/>
    <w:rsid w:val="000A7092"/>
    <w:rsid w:val="000C1CDB"/>
    <w:rsid w:val="000C3CE8"/>
    <w:rsid w:val="000C467A"/>
    <w:rsid w:val="000C6D3F"/>
    <w:rsid w:val="000D5DAC"/>
    <w:rsid w:val="000F1576"/>
    <w:rsid w:val="001011E7"/>
    <w:rsid w:val="0011700F"/>
    <w:rsid w:val="00122E89"/>
    <w:rsid w:val="001243BC"/>
    <w:rsid w:val="00132F8E"/>
    <w:rsid w:val="001444D9"/>
    <w:rsid w:val="00145626"/>
    <w:rsid w:val="0015169F"/>
    <w:rsid w:val="001525E3"/>
    <w:rsid w:val="001647A9"/>
    <w:rsid w:val="00167D3F"/>
    <w:rsid w:val="001818E9"/>
    <w:rsid w:val="001A1366"/>
    <w:rsid w:val="001B02C7"/>
    <w:rsid w:val="001B6906"/>
    <w:rsid w:val="001E6F68"/>
    <w:rsid w:val="001F0A74"/>
    <w:rsid w:val="001F2E90"/>
    <w:rsid w:val="00204BAB"/>
    <w:rsid w:val="00214BFB"/>
    <w:rsid w:val="00214CB3"/>
    <w:rsid w:val="0022125F"/>
    <w:rsid w:val="00225A2B"/>
    <w:rsid w:val="0022787B"/>
    <w:rsid w:val="002440F4"/>
    <w:rsid w:val="00247256"/>
    <w:rsid w:val="00247431"/>
    <w:rsid w:val="00264802"/>
    <w:rsid w:val="0026581E"/>
    <w:rsid w:val="00275272"/>
    <w:rsid w:val="002A4955"/>
    <w:rsid w:val="002B58A8"/>
    <w:rsid w:val="002D0346"/>
    <w:rsid w:val="002D2DAD"/>
    <w:rsid w:val="002F48C3"/>
    <w:rsid w:val="00314237"/>
    <w:rsid w:val="0032292F"/>
    <w:rsid w:val="00323FC0"/>
    <w:rsid w:val="00371FA3"/>
    <w:rsid w:val="00373D34"/>
    <w:rsid w:val="003A2C1B"/>
    <w:rsid w:val="003B1798"/>
    <w:rsid w:val="003B46EA"/>
    <w:rsid w:val="003B5C81"/>
    <w:rsid w:val="003B6265"/>
    <w:rsid w:val="003C7240"/>
    <w:rsid w:val="003C745E"/>
    <w:rsid w:val="003D07BB"/>
    <w:rsid w:val="003D4879"/>
    <w:rsid w:val="003F595D"/>
    <w:rsid w:val="00402418"/>
    <w:rsid w:val="004044D0"/>
    <w:rsid w:val="00423C64"/>
    <w:rsid w:val="0043114B"/>
    <w:rsid w:val="004368D4"/>
    <w:rsid w:val="00450896"/>
    <w:rsid w:val="004759EF"/>
    <w:rsid w:val="00475DE2"/>
    <w:rsid w:val="00482116"/>
    <w:rsid w:val="00484580"/>
    <w:rsid w:val="0049631A"/>
    <w:rsid w:val="00496E6A"/>
    <w:rsid w:val="004B0716"/>
    <w:rsid w:val="004B0AC5"/>
    <w:rsid w:val="004B595E"/>
    <w:rsid w:val="004C5176"/>
    <w:rsid w:val="004C6D16"/>
    <w:rsid w:val="004D3B9B"/>
    <w:rsid w:val="004D6799"/>
    <w:rsid w:val="004E176E"/>
    <w:rsid w:val="00526F8C"/>
    <w:rsid w:val="00545ECA"/>
    <w:rsid w:val="005644AF"/>
    <w:rsid w:val="005A1F0C"/>
    <w:rsid w:val="005A27AA"/>
    <w:rsid w:val="005B71D1"/>
    <w:rsid w:val="005D2B37"/>
    <w:rsid w:val="005D2BED"/>
    <w:rsid w:val="005E1C9E"/>
    <w:rsid w:val="005E1EED"/>
    <w:rsid w:val="005F36DE"/>
    <w:rsid w:val="00602683"/>
    <w:rsid w:val="00602F4F"/>
    <w:rsid w:val="0060708C"/>
    <w:rsid w:val="006105AB"/>
    <w:rsid w:val="00611DCA"/>
    <w:rsid w:val="006148FF"/>
    <w:rsid w:val="00614AAB"/>
    <w:rsid w:val="006258D1"/>
    <w:rsid w:val="0063695C"/>
    <w:rsid w:val="00653CDD"/>
    <w:rsid w:val="00657C79"/>
    <w:rsid w:val="00661375"/>
    <w:rsid w:val="00665924"/>
    <w:rsid w:val="00672300"/>
    <w:rsid w:val="00680315"/>
    <w:rsid w:val="006828BE"/>
    <w:rsid w:val="006A007C"/>
    <w:rsid w:val="006A6393"/>
    <w:rsid w:val="006B3E69"/>
    <w:rsid w:val="006B3FBB"/>
    <w:rsid w:val="006F1EF8"/>
    <w:rsid w:val="00703728"/>
    <w:rsid w:val="00705FF9"/>
    <w:rsid w:val="00713BD3"/>
    <w:rsid w:val="00721EDA"/>
    <w:rsid w:val="00733FA5"/>
    <w:rsid w:val="007462E4"/>
    <w:rsid w:val="00753A7D"/>
    <w:rsid w:val="00770AB8"/>
    <w:rsid w:val="00774C29"/>
    <w:rsid w:val="00797D1D"/>
    <w:rsid w:val="007A013F"/>
    <w:rsid w:val="007A4709"/>
    <w:rsid w:val="007B2718"/>
    <w:rsid w:val="007C08EA"/>
    <w:rsid w:val="007C5C4D"/>
    <w:rsid w:val="007E272D"/>
    <w:rsid w:val="00806719"/>
    <w:rsid w:val="008116F2"/>
    <w:rsid w:val="00813D3A"/>
    <w:rsid w:val="00814CB9"/>
    <w:rsid w:val="0082327F"/>
    <w:rsid w:val="00835E47"/>
    <w:rsid w:val="0085060A"/>
    <w:rsid w:val="00854204"/>
    <w:rsid w:val="008835AC"/>
    <w:rsid w:val="008C489E"/>
    <w:rsid w:val="008D16E0"/>
    <w:rsid w:val="008E7D64"/>
    <w:rsid w:val="008F7FEC"/>
    <w:rsid w:val="0090058C"/>
    <w:rsid w:val="00900AC0"/>
    <w:rsid w:val="0090607C"/>
    <w:rsid w:val="009060E2"/>
    <w:rsid w:val="00913076"/>
    <w:rsid w:val="00941888"/>
    <w:rsid w:val="00946221"/>
    <w:rsid w:val="00953916"/>
    <w:rsid w:val="00963015"/>
    <w:rsid w:val="00970199"/>
    <w:rsid w:val="00990DAC"/>
    <w:rsid w:val="009936C0"/>
    <w:rsid w:val="00997DF1"/>
    <w:rsid w:val="009A6079"/>
    <w:rsid w:val="009C19B2"/>
    <w:rsid w:val="009C6968"/>
    <w:rsid w:val="009D3BE7"/>
    <w:rsid w:val="009F7E20"/>
    <w:rsid w:val="00A208E3"/>
    <w:rsid w:val="00A26434"/>
    <w:rsid w:val="00A2755A"/>
    <w:rsid w:val="00A341C2"/>
    <w:rsid w:val="00A35F6C"/>
    <w:rsid w:val="00A47D38"/>
    <w:rsid w:val="00AA2B3B"/>
    <w:rsid w:val="00AB7952"/>
    <w:rsid w:val="00AC312A"/>
    <w:rsid w:val="00AC32DA"/>
    <w:rsid w:val="00AE0D1A"/>
    <w:rsid w:val="00AE1625"/>
    <w:rsid w:val="00AF41DC"/>
    <w:rsid w:val="00AF665B"/>
    <w:rsid w:val="00B011C6"/>
    <w:rsid w:val="00B34F1E"/>
    <w:rsid w:val="00B5697E"/>
    <w:rsid w:val="00B72959"/>
    <w:rsid w:val="00B90369"/>
    <w:rsid w:val="00BD2421"/>
    <w:rsid w:val="00BE1EA9"/>
    <w:rsid w:val="00BE1F20"/>
    <w:rsid w:val="00BF5B50"/>
    <w:rsid w:val="00C013B8"/>
    <w:rsid w:val="00C17D0B"/>
    <w:rsid w:val="00C24DF4"/>
    <w:rsid w:val="00C30FF8"/>
    <w:rsid w:val="00C55DD1"/>
    <w:rsid w:val="00C57BC7"/>
    <w:rsid w:val="00C714B8"/>
    <w:rsid w:val="00C80652"/>
    <w:rsid w:val="00C90E3B"/>
    <w:rsid w:val="00C9126A"/>
    <w:rsid w:val="00C9291C"/>
    <w:rsid w:val="00CC2AB0"/>
    <w:rsid w:val="00CD0A41"/>
    <w:rsid w:val="00CE366A"/>
    <w:rsid w:val="00CF05FE"/>
    <w:rsid w:val="00CF5AC6"/>
    <w:rsid w:val="00D34862"/>
    <w:rsid w:val="00D4010E"/>
    <w:rsid w:val="00D50DE3"/>
    <w:rsid w:val="00D57A2A"/>
    <w:rsid w:val="00D63228"/>
    <w:rsid w:val="00D76373"/>
    <w:rsid w:val="00D87A49"/>
    <w:rsid w:val="00D9249A"/>
    <w:rsid w:val="00DA718F"/>
    <w:rsid w:val="00DF144F"/>
    <w:rsid w:val="00E139C0"/>
    <w:rsid w:val="00E13F42"/>
    <w:rsid w:val="00E2175F"/>
    <w:rsid w:val="00E26CD1"/>
    <w:rsid w:val="00E343F5"/>
    <w:rsid w:val="00E4234D"/>
    <w:rsid w:val="00E502D3"/>
    <w:rsid w:val="00E651C9"/>
    <w:rsid w:val="00EC2465"/>
    <w:rsid w:val="00EC775F"/>
    <w:rsid w:val="00ED217D"/>
    <w:rsid w:val="00EE18A2"/>
    <w:rsid w:val="00EF3A96"/>
    <w:rsid w:val="00F163B6"/>
    <w:rsid w:val="00F27BC8"/>
    <w:rsid w:val="00F32D29"/>
    <w:rsid w:val="00F36F59"/>
    <w:rsid w:val="00F37B86"/>
    <w:rsid w:val="00F45B16"/>
    <w:rsid w:val="00F45EB5"/>
    <w:rsid w:val="00F52C7C"/>
    <w:rsid w:val="00F544B8"/>
    <w:rsid w:val="00F621FC"/>
    <w:rsid w:val="00F75402"/>
    <w:rsid w:val="00F75447"/>
    <w:rsid w:val="00F80C30"/>
    <w:rsid w:val="00F85A6C"/>
    <w:rsid w:val="00F90631"/>
    <w:rsid w:val="00FB576C"/>
    <w:rsid w:val="00FD0017"/>
    <w:rsid w:val="00FD7A1D"/>
    <w:rsid w:val="00FF0B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0C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0C30"/>
    <w:rPr>
      <w:rFonts w:ascii="Tahoma" w:hAnsi="Tahoma" w:cs="Tahoma"/>
      <w:sz w:val="16"/>
      <w:szCs w:val="16"/>
    </w:rPr>
  </w:style>
  <w:style w:type="paragraph" w:styleId="Notedebasdepage">
    <w:name w:val="footnote text"/>
    <w:basedOn w:val="Normal"/>
    <w:link w:val="NotedebasdepageCar"/>
    <w:uiPriority w:val="99"/>
    <w:semiHidden/>
    <w:unhideWhenUsed/>
    <w:rsid w:val="000C3C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3CE8"/>
    <w:rPr>
      <w:sz w:val="20"/>
      <w:szCs w:val="20"/>
    </w:rPr>
  </w:style>
  <w:style w:type="character" w:styleId="Appelnotedebasdep">
    <w:name w:val="footnote reference"/>
    <w:basedOn w:val="Policepardfaut"/>
    <w:uiPriority w:val="99"/>
    <w:semiHidden/>
    <w:unhideWhenUsed/>
    <w:rsid w:val="000C3CE8"/>
    <w:rPr>
      <w:vertAlign w:val="superscript"/>
    </w:rPr>
  </w:style>
  <w:style w:type="paragraph" w:styleId="Paragraphedeliste">
    <w:name w:val="List Paragraph"/>
    <w:basedOn w:val="Normal"/>
    <w:uiPriority w:val="34"/>
    <w:qFormat/>
    <w:rsid w:val="00990DAC"/>
    <w:pPr>
      <w:ind w:left="720"/>
      <w:contextualSpacing/>
    </w:pPr>
  </w:style>
  <w:style w:type="table" w:styleId="Grilledutableau">
    <w:name w:val="Table Grid"/>
    <w:basedOn w:val="TableauNormal"/>
    <w:uiPriority w:val="59"/>
    <w:rsid w:val="006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46221"/>
    <w:rPr>
      <w:b/>
      <w:bCs/>
    </w:rPr>
  </w:style>
  <w:style w:type="character" w:styleId="Lienhypertexte">
    <w:name w:val="Hyperlink"/>
    <w:basedOn w:val="Policepardfaut"/>
    <w:uiPriority w:val="99"/>
    <w:semiHidden/>
    <w:unhideWhenUsed/>
    <w:rsid w:val="00946221"/>
    <w:rPr>
      <w:color w:val="0000FF"/>
      <w:u w:val="single"/>
    </w:rPr>
  </w:style>
  <w:style w:type="paragraph" w:styleId="En-tte">
    <w:name w:val="header"/>
    <w:basedOn w:val="Normal"/>
    <w:link w:val="En-tteCar"/>
    <w:uiPriority w:val="99"/>
    <w:unhideWhenUsed/>
    <w:rsid w:val="00087782"/>
    <w:pPr>
      <w:tabs>
        <w:tab w:val="center" w:pos="4680"/>
        <w:tab w:val="right" w:pos="9360"/>
      </w:tabs>
      <w:spacing w:after="0" w:line="240" w:lineRule="auto"/>
    </w:pPr>
  </w:style>
  <w:style w:type="character" w:customStyle="1" w:styleId="En-tteCar">
    <w:name w:val="En-tête Car"/>
    <w:basedOn w:val="Policepardfaut"/>
    <w:link w:val="En-tte"/>
    <w:uiPriority w:val="99"/>
    <w:rsid w:val="00087782"/>
  </w:style>
  <w:style w:type="paragraph" w:styleId="Pieddepage">
    <w:name w:val="footer"/>
    <w:basedOn w:val="Normal"/>
    <w:link w:val="PieddepageCar"/>
    <w:uiPriority w:val="99"/>
    <w:unhideWhenUsed/>
    <w:rsid w:val="0008778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87782"/>
  </w:style>
  <w:style w:type="character" w:styleId="Marquedecommentaire">
    <w:name w:val="annotation reference"/>
    <w:basedOn w:val="Policepardfaut"/>
    <w:uiPriority w:val="99"/>
    <w:semiHidden/>
    <w:unhideWhenUsed/>
    <w:rsid w:val="008E7D64"/>
    <w:rPr>
      <w:sz w:val="16"/>
      <w:szCs w:val="16"/>
    </w:rPr>
  </w:style>
  <w:style w:type="paragraph" w:styleId="Commentaire">
    <w:name w:val="annotation text"/>
    <w:basedOn w:val="Normal"/>
    <w:link w:val="CommentaireCar"/>
    <w:uiPriority w:val="99"/>
    <w:semiHidden/>
    <w:unhideWhenUsed/>
    <w:rsid w:val="008E7D64"/>
    <w:pPr>
      <w:spacing w:line="240" w:lineRule="auto"/>
    </w:pPr>
    <w:rPr>
      <w:sz w:val="20"/>
      <w:szCs w:val="20"/>
    </w:rPr>
  </w:style>
  <w:style w:type="character" w:customStyle="1" w:styleId="CommentaireCar">
    <w:name w:val="Commentaire Car"/>
    <w:basedOn w:val="Policepardfaut"/>
    <w:link w:val="Commentaire"/>
    <w:uiPriority w:val="99"/>
    <w:semiHidden/>
    <w:rsid w:val="008E7D64"/>
    <w:rPr>
      <w:sz w:val="20"/>
      <w:szCs w:val="20"/>
    </w:rPr>
  </w:style>
  <w:style w:type="paragraph" w:styleId="Objetducommentaire">
    <w:name w:val="annotation subject"/>
    <w:basedOn w:val="Commentaire"/>
    <w:next w:val="Commentaire"/>
    <w:link w:val="ObjetducommentaireCar"/>
    <w:uiPriority w:val="99"/>
    <w:semiHidden/>
    <w:unhideWhenUsed/>
    <w:rsid w:val="008E7D64"/>
    <w:rPr>
      <w:b/>
      <w:bCs/>
    </w:rPr>
  </w:style>
  <w:style w:type="character" w:customStyle="1" w:styleId="ObjetducommentaireCar">
    <w:name w:val="Objet du commentaire Car"/>
    <w:basedOn w:val="CommentaireCar"/>
    <w:link w:val="Objetducommentaire"/>
    <w:uiPriority w:val="99"/>
    <w:semiHidden/>
    <w:rsid w:val="008E7D64"/>
    <w:rPr>
      <w:b/>
      <w:bCs/>
      <w:sz w:val="20"/>
      <w:szCs w:val="20"/>
    </w:rPr>
  </w:style>
  <w:style w:type="paragraph" w:styleId="Rvision">
    <w:name w:val="Revision"/>
    <w:hidden/>
    <w:uiPriority w:val="99"/>
    <w:semiHidden/>
    <w:rsid w:val="008E7D64"/>
    <w:pPr>
      <w:spacing w:after="0" w:line="240" w:lineRule="auto"/>
    </w:pPr>
  </w:style>
  <w:style w:type="paragraph" w:styleId="Sansinterligne">
    <w:name w:val="No Spacing"/>
    <w:uiPriority w:val="1"/>
    <w:qFormat/>
    <w:rsid w:val="00FB576C"/>
    <w:pPr>
      <w:spacing w:after="0" w:line="240" w:lineRule="auto"/>
    </w:pPr>
  </w:style>
  <w:style w:type="paragraph" w:customStyle="1" w:styleId="Pa16">
    <w:name w:val="Pa16"/>
    <w:basedOn w:val="Normal"/>
    <w:next w:val="Normal"/>
    <w:uiPriority w:val="99"/>
    <w:rsid w:val="00AB7952"/>
    <w:pPr>
      <w:autoSpaceDE w:val="0"/>
      <w:autoSpaceDN w:val="0"/>
      <w:adjustRightInd w:val="0"/>
      <w:spacing w:after="0" w:line="201" w:lineRule="atLeast"/>
    </w:pPr>
    <w:rPr>
      <w:rFonts w:ascii="Myriad Pro" w:hAnsi="Myriad Pro"/>
      <w:szCs w:val="24"/>
    </w:rPr>
  </w:style>
  <w:style w:type="character" w:customStyle="1" w:styleId="A5">
    <w:name w:val="A5"/>
    <w:uiPriority w:val="99"/>
    <w:rsid w:val="00AB7952"/>
    <w:rPr>
      <w:rFonts w:cs="Myriad Pro"/>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0C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0C30"/>
    <w:rPr>
      <w:rFonts w:ascii="Tahoma" w:hAnsi="Tahoma" w:cs="Tahoma"/>
      <w:sz w:val="16"/>
      <w:szCs w:val="16"/>
    </w:rPr>
  </w:style>
  <w:style w:type="paragraph" w:styleId="Notedebasdepage">
    <w:name w:val="footnote text"/>
    <w:basedOn w:val="Normal"/>
    <w:link w:val="NotedebasdepageCar"/>
    <w:uiPriority w:val="99"/>
    <w:semiHidden/>
    <w:unhideWhenUsed/>
    <w:rsid w:val="000C3C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3CE8"/>
    <w:rPr>
      <w:sz w:val="20"/>
      <w:szCs w:val="20"/>
    </w:rPr>
  </w:style>
  <w:style w:type="character" w:styleId="Appelnotedebasdep">
    <w:name w:val="footnote reference"/>
    <w:basedOn w:val="Policepardfaut"/>
    <w:uiPriority w:val="99"/>
    <w:semiHidden/>
    <w:unhideWhenUsed/>
    <w:rsid w:val="000C3CE8"/>
    <w:rPr>
      <w:vertAlign w:val="superscript"/>
    </w:rPr>
  </w:style>
  <w:style w:type="paragraph" w:styleId="Paragraphedeliste">
    <w:name w:val="List Paragraph"/>
    <w:basedOn w:val="Normal"/>
    <w:uiPriority w:val="34"/>
    <w:qFormat/>
    <w:rsid w:val="00990DAC"/>
    <w:pPr>
      <w:ind w:left="720"/>
      <w:contextualSpacing/>
    </w:pPr>
  </w:style>
  <w:style w:type="table" w:styleId="Grilledutableau">
    <w:name w:val="Table Grid"/>
    <w:basedOn w:val="TableauNormal"/>
    <w:uiPriority w:val="59"/>
    <w:rsid w:val="006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46221"/>
    <w:rPr>
      <w:b/>
      <w:bCs/>
    </w:rPr>
  </w:style>
  <w:style w:type="character" w:styleId="Lienhypertexte">
    <w:name w:val="Hyperlink"/>
    <w:basedOn w:val="Policepardfaut"/>
    <w:uiPriority w:val="99"/>
    <w:semiHidden/>
    <w:unhideWhenUsed/>
    <w:rsid w:val="00946221"/>
    <w:rPr>
      <w:color w:val="0000FF"/>
      <w:u w:val="single"/>
    </w:rPr>
  </w:style>
  <w:style w:type="paragraph" w:styleId="En-tte">
    <w:name w:val="header"/>
    <w:basedOn w:val="Normal"/>
    <w:link w:val="En-tteCar"/>
    <w:uiPriority w:val="99"/>
    <w:unhideWhenUsed/>
    <w:rsid w:val="00087782"/>
    <w:pPr>
      <w:tabs>
        <w:tab w:val="center" w:pos="4680"/>
        <w:tab w:val="right" w:pos="9360"/>
      </w:tabs>
      <w:spacing w:after="0" w:line="240" w:lineRule="auto"/>
    </w:pPr>
  </w:style>
  <w:style w:type="character" w:customStyle="1" w:styleId="En-tteCar">
    <w:name w:val="En-tête Car"/>
    <w:basedOn w:val="Policepardfaut"/>
    <w:link w:val="En-tte"/>
    <w:uiPriority w:val="99"/>
    <w:rsid w:val="00087782"/>
  </w:style>
  <w:style w:type="paragraph" w:styleId="Pieddepage">
    <w:name w:val="footer"/>
    <w:basedOn w:val="Normal"/>
    <w:link w:val="PieddepageCar"/>
    <w:uiPriority w:val="99"/>
    <w:unhideWhenUsed/>
    <w:rsid w:val="0008778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87782"/>
  </w:style>
  <w:style w:type="character" w:styleId="Marquedecommentaire">
    <w:name w:val="annotation reference"/>
    <w:basedOn w:val="Policepardfaut"/>
    <w:uiPriority w:val="99"/>
    <w:semiHidden/>
    <w:unhideWhenUsed/>
    <w:rsid w:val="008E7D64"/>
    <w:rPr>
      <w:sz w:val="16"/>
      <w:szCs w:val="16"/>
    </w:rPr>
  </w:style>
  <w:style w:type="paragraph" w:styleId="Commentaire">
    <w:name w:val="annotation text"/>
    <w:basedOn w:val="Normal"/>
    <w:link w:val="CommentaireCar"/>
    <w:uiPriority w:val="99"/>
    <w:semiHidden/>
    <w:unhideWhenUsed/>
    <w:rsid w:val="008E7D64"/>
    <w:pPr>
      <w:spacing w:line="240" w:lineRule="auto"/>
    </w:pPr>
    <w:rPr>
      <w:sz w:val="20"/>
      <w:szCs w:val="20"/>
    </w:rPr>
  </w:style>
  <w:style w:type="character" w:customStyle="1" w:styleId="CommentaireCar">
    <w:name w:val="Commentaire Car"/>
    <w:basedOn w:val="Policepardfaut"/>
    <w:link w:val="Commentaire"/>
    <w:uiPriority w:val="99"/>
    <w:semiHidden/>
    <w:rsid w:val="008E7D64"/>
    <w:rPr>
      <w:sz w:val="20"/>
      <w:szCs w:val="20"/>
    </w:rPr>
  </w:style>
  <w:style w:type="paragraph" w:styleId="Objetducommentaire">
    <w:name w:val="annotation subject"/>
    <w:basedOn w:val="Commentaire"/>
    <w:next w:val="Commentaire"/>
    <w:link w:val="ObjetducommentaireCar"/>
    <w:uiPriority w:val="99"/>
    <w:semiHidden/>
    <w:unhideWhenUsed/>
    <w:rsid w:val="008E7D64"/>
    <w:rPr>
      <w:b/>
      <w:bCs/>
    </w:rPr>
  </w:style>
  <w:style w:type="character" w:customStyle="1" w:styleId="ObjetducommentaireCar">
    <w:name w:val="Objet du commentaire Car"/>
    <w:basedOn w:val="CommentaireCar"/>
    <w:link w:val="Objetducommentaire"/>
    <w:uiPriority w:val="99"/>
    <w:semiHidden/>
    <w:rsid w:val="008E7D64"/>
    <w:rPr>
      <w:b/>
      <w:bCs/>
      <w:sz w:val="20"/>
      <w:szCs w:val="20"/>
    </w:rPr>
  </w:style>
  <w:style w:type="paragraph" w:styleId="Rvision">
    <w:name w:val="Revision"/>
    <w:hidden/>
    <w:uiPriority w:val="99"/>
    <w:semiHidden/>
    <w:rsid w:val="008E7D64"/>
    <w:pPr>
      <w:spacing w:after="0" w:line="240" w:lineRule="auto"/>
    </w:pPr>
  </w:style>
  <w:style w:type="paragraph" w:styleId="Sansinterligne">
    <w:name w:val="No Spacing"/>
    <w:uiPriority w:val="1"/>
    <w:qFormat/>
    <w:rsid w:val="00FB576C"/>
    <w:pPr>
      <w:spacing w:after="0" w:line="240" w:lineRule="auto"/>
    </w:pPr>
  </w:style>
  <w:style w:type="paragraph" w:customStyle="1" w:styleId="Pa16">
    <w:name w:val="Pa16"/>
    <w:basedOn w:val="Normal"/>
    <w:next w:val="Normal"/>
    <w:uiPriority w:val="99"/>
    <w:rsid w:val="00AB7952"/>
    <w:pPr>
      <w:autoSpaceDE w:val="0"/>
      <w:autoSpaceDN w:val="0"/>
      <w:adjustRightInd w:val="0"/>
      <w:spacing w:after="0" w:line="201" w:lineRule="atLeast"/>
    </w:pPr>
    <w:rPr>
      <w:rFonts w:ascii="Myriad Pro" w:hAnsi="Myriad Pro"/>
      <w:szCs w:val="24"/>
    </w:rPr>
  </w:style>
  <w:style w:type="character" w:customStyle="1" w:styleId="A5">
    <w:name w:val="A5"/>
    <w:uiPriority w:val="99"/>
    <w:rsid w:val="00AB7952"/>
    <w:rPr>
      <w:rFonts w:cs="Myriad Pro"/>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10528">
      <w:bodyDiv w:val="1"/>
      <w:marLeft w:val="0"/>
      <w:marRight w:val="0"/>
      <w:marTop w:val="0"/>
      <w:marBottom w:val="0"/>
      <w:divBdr>
        <w:top w:val="none" w:sz="0" w:space="0" w:color="auto"/>
        <w:left w:val="none" w:sz="0" w:space="0" w:color="auto"/>
        <w:bottom w:val="none" w:sz="0" w:space="0" w:color="auto"/>
        <w:right w:val="none" w:sz="0" w:space="0" w:color="auto"/>
      </w:divBdr>
    </w:div>
    <w:div w:id="992030582">
      <w:bodyDiv w:val="1"/>
      <w:marLeft w:val="0"/>
      <w:marRight w:val="0"/>
      <w:marTop w:val="0"/>
      <w:marBottom w:val="0"/>
      <w:divBdr>
        <w:top w:val="none" w:sz="0" w:space="0" w:color="auto"/>
        <w:left w:val="none" w:sz="0" w:space="0" w:color="auto"/>
        <w:bottom w:val="none" w:sz="0" w:space="0" w:color="auto"/>
        <w:right w:val="none" w:sz="0" w:space="0" w:color="auto"/>
      </w:divBdr>
    </w:div>
    <w:div w:id="1187407518">
      <w:bodyDiv w:val="1"/>
      <w:marLeft w:val="0"/>
      <w:marRight w:val="0"/>
      <w:marTop w:val="0"/>
      <w:marBottom w:val="0"/>
      <w:divBdr>
        <w:top w:val="none" w:sz="0" w:space="0" w:color="auto"/>
        <w:left w:val="none" w:sz="0" w:space="0" w:color="auto"/>
        <w:bottom w:val="none" w:sz="0" w:space="0" w:color="auto"/>
        <w:right w:val="none" w:sz="0" w:space="0" w:color="auto"/>
      </w:divBdr>
    </w:div>
    <w:div w:id="1377395419">
      <w:bodyDiv w:val="1"/>
      <w:marLeft w:val="0"/>
      <w:marRight w:val="0"/>
      <w:marTop w:val="0"/>
      <w:marBottom w:val="0"/>
      <w:divBdr>
        <w:top w:val="none" w:sz="0" w:space="0" w:color="auto"/>
        <w:left w:val="none" w:sz="0" w:space="0" w:color="auto"/>
        <w:bottom w:val="none" w:sz="0" w:space="0" w:color="auto"/>
        <w:right w:val="none" w:sz="0" w:space="0" w:color="auto"/>
      </w:divBdr>
    </w:div>
    <w:div w:id="1500804574">
      <w:bodyDiv w:val="1"/>
      <w:marLeft w:val="0"/>
      <w:marRight w:val="0"/>
      <w:marTop w:val="0"/>
      <w:marBottom w:val="0"/>
      <w:divBdr>
        <w:top w:val="none" w:sz="0" w:space="0" w:color="auto"/>
        <w:left w:val="none" w:sz="0" w:space="0" w:color="auto"/>
        <w:bottom w:val="none" w:sz="0" w:space="0" w:color="auto"/>
        <w:right w:val="none" w:sz="0" w:space="0" w:color="auto"/>
      </w:divBdr>
    </w:div>
    <w:div w:id="1579902636">
      <w:bodyDiv w:val="1"/>
      <w:marLeft w:val="0"/>
      <w:marRight w:val="0"/>
      <w:marTop w:val="0"/>
      <w:marBottom w:val="0"/>
      <w:divBdr>
        <w:top w:val="none" w:sz="0" w:space="0" w:color="auto"/>
        <w:left w:val="none" w:sz="0" w:space="0" w:color="auto"/>
        <w:bottom w:val="none" w:sz="0" w:space="0" w:color="auto"/>
        <w:right w:val="none" w:sz="0" w:space="0" w:color="auto"/>
      </w:divBdr>
    </w:div>
    <w:div w:id="18407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556A-6C9B-4DAA-AC5F-E6C80ACB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3135</Words>
  <Characters>17246</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BEA</Company>
  <LinksUpToDate>false</LinksUpToDate>
  <CharactersWithSpaces>20341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PLANTIN DE HUGUES</dc:creator>
  <cp:lastModifiedBy>Philippe PLANTIN DE HUGUES</cp:lastModifiedBy>
  <cp:revision>6</cp:revision>
  <cp:lastPrinted>2017-06-29T12:54:00Z</cp:lastPrinted>
  <dcterms:created xsi:type="dcterms:W3CDTF">2017-06-30T18:20:00Z</dcterms:created>
  <dcterms:modified xsi:type="dcterms:W3CDTF">2017-06-30T19:24:00Z</dcterms:modified>
</cp:coreProperties>
</file>